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5ED73" w14:textId="67D5C72D" w:rsidR="002D769F" w:rsidRDefault="00540F51" w:rsidP="00540F51">
      <w:pPr>
        <w:jc w:val="center"/>
        <w:rPr>
          <w:b/>
          <w:bCs/>
          <w:sz w:val="36"/>
          <w:szCs w:val="36"/>
        </w:rPr>
      </w:pPr>
      <w:r w:rsidRPr="00540F51">
        <w:rPr>
          <w:b/>
          <w:bCs/>
          <w:sz w:val="36"/>
          <w:szCs w:val="36"/>
        </w:rPr>
        <w:t>ATTENDANCE MANAGEMENT PLAN</w:t>
      </w:r>
      <w:r w:rsidR="005F31D8">
        <w:rPr>
          <w:b/>
          <w:bCs/>
          <w:sz w:val="36"/>
          <w:szCs w:val="36"/>
        </w:rPr>
        <w:t xml:space="preserve"> FOR </w:t>
      </w:r>
      <w:r w:rsidR="00060405" w:rsidRPr="00060405">
        <w:rPr>
          <w:b/>
          <w:bCs/>
          <w:sz w:val="36"/>
          <w:szCs w:val="36"/>
          <w:highlight w:val="yellow"/>
        </w:rPr>
        <w:t>*** SCHOOL</w:t>
      </w:r>
    </w:p>
    <w:p w14:paraId="7D5E8407" w14:textId="0B60EAD1" w:rsidR="00D25617" w:rsidRDefault="00F86BA3" w:rsidP="00F86BA3">
      <w:pPr>
        <w:rPr>
          <w:b/>
          <w:bCs/>
          <w:color w:val="0070C0"/>
          <w:sz w:val="28"/>
          <w:szCs w:val="28"/>
        </w:rPr>
      </w:pPr>
      <w:r w:rsidRPr="00F86BA3">
        <w:rPr>
          <w:b/>
          <w:bCs/>
          <w:color w:val="0070C0"/>
          <w:sz w:val="28"/>
          <w:szCs w:val="28"/>
        </w:rPr>
        <w:t>Rationale:</w:t>
      </w:r>
    </w:p>
    <w:p w14:paraId="4B21605F" w14:textId="6618919F" w:rsidR="006B4ECC" w:rsidRDefault="001B294A" w:rsidP="000B7F15">
      <w:r>
        <w:t xml:space="preserve">At </w:t>
      </w:r>
      <w:r w:rsidRPr="0074793E">
        <w:rPr>
          <w:color w:val="000000" w:themeColor="text1"/>
          <w:highlight w:val="yellow"/>
        </w:rPr>
        <w:t>*** School</w:t>
      </w:r>
      <w:r>
        <w:rPr>
          <w:color w:val="000000" w:themeColor="text1"/>
        </w:rPr>
        <w:t xml:space="preserve"> we understand that </w:t>
      </w:r>
      <w:r>
        <w:t xml:space="preserve">regular attendance is closely linked to student achievement and wellbeing. School age children are required to </w:t>
      </w:r>
      <w:r w:rsidR="002F0AE2">
        <w:t>attend</w:t>
      </w:r>
      <w:r>
        <w:t xml:space="preserve"> school </w:t>
      </w:r>
      <w:r w:rsidR="00361835">
        <w:t>every day</w:t>
      </w:r>
      <w:r w:rsidR="000B7F15">
        <w:t xml:space="preserve"> and everyone (school personnel, parents, whānau and communities) play a vital role to ensure this is a top priority. </w:t>
      </w:r>
      <w:r w:rsidR="000B7F15" w:rsidRPr="002037A2">
        <w:rPr>
          <w:highlight w:val="yellow"/>
        </w:rPr>
        <w:t>*** School’s</w:t>
      </w:r>
      <w:r w:rsidR="000B7F15">
        <w:t xml:space="preserve"> Attendance Management Plan provides a clear process to improve regular attendance by identifying patterns of absenteeism and implementing culturally responsive strategies. It </w:t>
      </w:r>
      <w:r w:rsidR="004A78FC">
        <w:t>complies</w:t>
      </w:r>
      <w:r w:rsidR="000B7F15">
        <w:t xml:space="preserve"> with Ministry of Education requirements to monitor and report student attendance</w:t>
      </w:r>
      <w:r w:rsidR="00ED1795">
        <w:t xml:space="preserve"> </w:t>
      </w:r>
      <w:r w:rsidR="004A78FC">
        <w:t xml:space="preserve">and aligns with </w:t>
      </w:r>
      <w:r w:rsidR="00013E2D">
        <w:t>STAR guidelines (Stepped Attendance Response).</w:t>
      </w:r>
    </w:p>
    <w:p w14:paraId="4455C3EA" w14:textId="38E432AB" w:rsidR="001F0BED" w:rsidRDefault="006B4ECC" w:rsidP="006B4ECC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Current State</w:t>
      </w:r>
      <w:r w:rsidRPr="00F86BA3">
        <w:rPr>
          <w:b/>
          <w:bCs/>
          <w:color w:val="0070C0"/>
          <w:sz w:val="28"/>
          <w:szCs w:val="28"/>
        </w:rPr>
        <w:t>:</w:t>
      </w:r>
    </w:p>
    <w:p w14:paraId="51A977C8" w14:textId="38982C8A" w:rsidR="00E13F4E" w:rsidRPr="007850AB" w:rsidRDefault="00E13F4E" w:rsidP="00E13F4E">
      <w:r>
        <w:t>The government has set a target for</w:t>
      </w:r>
      <w:r w:rsidR="007850AB">
        <w:t xml:space="preserve"> </w:t>
      </w:r>
      <w:r w:rsidRPr="00FD29B9">
        <w:t xml:space="preserve">80% or more students to be attending regularly by 2030. </w:t>
      </w:r>
      <w:r w:rsidR="007850AB">
        <w:t>(</w:t>
      </w:r>
      <w:r w:rsidRPr="007850AB">
        <w:t>To be attending regularly, students miss fewer than 5 days across a term.</w:t>
      </w:r>
      <w:r w:rsidR="007850AB">
        <w:t>)</w:t>
      </w:r>
    </w:p>
    <w:p w14:paraId="7C296D93" w14:textId="46F77958" w:rsidR="00D237A4" w:rsidRDefault="001A68F9" w:rsidP="00B31151">
      <w:pPr>
        <w:spacing w:after="0"/>
      </w:pPr>
      <w:r>
        <w:t>At the end of 202</w:t>
      </w:r>
      <w:r w:rsidR="00B31151">
        <w:t>5</w:t>
      </w:r>
      <w:r w:rsidR="002027EB">
        <w:t xml:space="preserve"> </w:t>
      </w:r>
      <w:r w:rsidR="00574263" w:rsidRPr="00574263">
        <w:rPr>
          <w:highlight w:val="yellow"/>
        </w:rPr>
        <w:t>*** Scho</w:t>
      </w:r>
      <w:r w:rsidR="00574263" w:rsidRPr="00C20D0F">
        <w:rPr>
          <w:highlight w:val="yellow"/>
        </w:rPr>
        <w:t>ol</w:t>
      </w:r>
      <w:r w:rsidR="00C20D0F" w:rsidRPr="00C20D0F">
        <w:rPr>
          <w:highlight w:val="yellow"/>
        </w:rPr>
        <w:t>’s</w:t>
      </w:r>
      <w:r w:rsidR="00C20D0F">
        <w:t xml:space="preserve"> regular attendance wa</w:t>
      </w:r>
      <w:r w:rsidR="00AB1463">
        <w:t xml:space="preserve">s </w:t>
      </w:r>
      <w:r w:rsidR="00AB1463" w:rsidRPr="00AB1463">
        <w:rPr>
          <w:highlight w:val="yellow"/>
        </w:rPr>
        <w:t>**%</w:t>
      </w:r>
      <w:r w:rsidR="00CF7463">
        <w:t>. A further breakdown of this</w:t>
      </w:r>
      <w:r w:rsidR="00D237A4">
        <w:t xml:space="preserve"> is as follows:</w:t>
      </w:r>
    </w:p>
    <w:p w14:paraId="073438F0" w14:textId="7A648CB6" w:rsidR="00D237A4" w:rsidRDefault="00D237A4" w:rsidP="00D237A4">
      <w:pPr>
        <w:pStyle w:val="ListParagraph"/>
        <w:numPr>
          <w:ilvl w:val="0"/>
          <w:numId w:val="6"/>
        </w:numPr>
      </w:pPr>
      <w:r>
        <w:t>Term 1 –</w:t>
      </w:r>
    </w:p>
    <w:p w14:paraId="126ACFDA" w14:textId="6D49F5E6" w:rsidR="00D237A4" w:rsidRDefault="00D237A4" w:rsidP="00D237A4">
      <w:pPr>
        <w:pStyle w:val="ListParagraph"/>
        <w:numPr>
          <w:ilvl w:val="0"/>
          <w:numId w:val="6"/>
        </w:numPr>
      </w:pPr>
      <w:r>
        <w:t>Term 2</w:t>
      </w:r>
      <w:r w:rsidR="00B31151">
        <w:t xml:space="preserve"> –</w:t>
      </w:r>
    </w:p>
    <w:p w14:paraId="776B0B19" w14:textId="1849669A" w:rsidR="00B31151" w:rsidRDefault="00B31151" w:rsidP="00D237A4">
      <w:pPr>
        <w:pStyle w:val="ListParagraph"/>
        <w:numPr>
          <w:ilvl w:val="0"/>
          <w:numId w:val="6"/>
        </w:numPr>
      </w:pPr>
      <w:r>
        <w:t>Term 3 –</w:t>
      </w:r>
    </w:p>
    <w:p w14:paraId="227E94FB" w14:textId="428165C7" w:rsidR="008A72EA" w:rsidRDefault="00B31151" w:rsidP="008A72EA">
      <w:pPr>
        <w:pStyle w:val="ListParagraph"/>
        <w:numPr>
          <w:ilvl w:val="0"/>
          <w:numId w:val="6"/>
        </w:numPr>
      </w:pPr>
      <w:r>
        <w:t xml:space="preserve">Term 4 </w:t>
      </w:r>
      <w:r w:rsidR="008A72EA">
        <w:t>–</w:t>
      </w:r>
    </w:p>
    <w:p w14:paraId="699BB680" w14:textId="7F31C82A" w:rsidR="00D237A4" w:rsidRDefault="00F93E6B" w:rsidP="003F5930">
      <w:pPr>
        <w:spacing w:after="0"/>
        <w:rPr>
          <w:i/>
          <w:iCs/>
        </w:rPr>
      </w:pPr>
      <w:r>
        <w:rPr>
          <w:b/>
          <w:bCs/>
        </w:rPr>
        <w:t xml:space="preserve">2026 </w:t>
      </w:r>
      <w:r w:rsidR="00EC1865">
        <w:rPr>
          <w:b/>
          <w:bCs/>
        </w:rPr>
        <w:t xml:space="preserve">Regular Attendance </w:t>
      </w:r>
      <w:r w:rsidRPr="00F93E6B">
        <w:rPr>
          <w:b/>
          <w:bCs/>
        </w:rPr>
        <w:t>Target:</w:t>
      </w:r>
      <w:r w:rsidR="00EC1865">
        <w:rPr>
          <w:b/>
          <w:bCs/>
        </w:rPr>
        <w:t xml:space="preserve"> </w:t>
      </w:r>
      <w:r w:rsidR="00EC1865" w:rsidRPr="00C01DD9">
        <w:rPr>
          <w:b/>
          <w:bCs/>
          <w:highlight w:val="yellow"/>
        </w:rPr>
        <w:t>**</w:t>
      </w:r>
      <w:r w:rsidR="00C01DD9" w:rsidRPr="00C01DD9">
        <w:rPr>
          <w:b/>
          <w:bCs/>
          <w:highlight w:val="yellow"/>
        </w:rPr>
        <w:t>%</w:t>
      </w:r>
      <w:r w:rsidR="00C01DD9">
        <w:rPr>
          <w:b/>
          <w:bCs/>
        </w:rPr>
        <w:t xml:space="preserve"> </w:t>
      </w:r>
      <w:r w:rsidR="004367E3">
        <w:rPr>
          <w:i/>
          <w:iCs/>
        </w:rPr>
        <w:t>(An incremental</w:t>
      </w:r>
      <w:r w:rsidR="00CF5595">
        <w:rPr>
          <w:i/>
          <w:iCs/>
        </w:rPr>
        <w:t>, realistically achievable</w:t>
      </w:r>
      <w:r w:rsidR="004367E3">
        <w:rPr>
          <w:i/>
          <w:iCs/>
        </w:rPr>
        <w:t xml:space="preserve"> amount based on previous year’s </w:t>
      </w:r>
      <w:r w:rsidR="005B2CA6">
        <w:rPr>
          <w:i/>
          <w:iCs/>
        </w:rPr>
        <w:t>percentage)</w:t>
      </w:r>
      <w:r w:rsidR="00CF5595">
        <w:rPr>
          <w:i/>
          <w:iCs/>
        </w:rPr>
        <w:t>.</w:t>
      </w:r>
    </w:p>
    <w:p w14:paraId="32377AA8" w14:textId="6329AB45" w:rsidR="0055640D" w:rsidRDefault="0055640D" w:rsidP="0055640D">
      <w:pPr>
        <w:pStyle w:val="ListParagraph"/>
        <w:numPr>
          <w:ilvl w:val="0"/>
          <w:numId w:val="7"/>
        </w:numPr>
      </w:pPr>
      <w:r>
        <w:t xml:space="preserve">Term </w:t>
      </w:r>
      <w:r w:rsidR="003F5930">
        <w:t>1 -</w:t>
      </w:r>
    </w:p>
    <w:p w14:paraId="75771CE1" w14:textId="51FB4A6E" w:rsidR="0055640D" w:rsidRDefault="003F5930" w:rsidP="0055640D">
      <w:pPr>
        <w:pStyle w:val="ListParagraph"/>
        <w:numPr>
          <w:ilvl w:val="0"/>
          <w:numId w:val="7"/>
        </w:numPr>
      </w:pPr>
      <w:r>
        <w:t>Term 2 -</w:t>
      </w:r>
    </w:p>
    <w:p w14:paraId="5F2B9230" w14:textId="1E32CD5F" w:rsidR="003F5930" w:rsidRDefault="003F5930" w:rsidP="0055640D">
      <w:pPr>
        <w:pStyle w:val="ListParagraph"/>
        <w:numPr>
          <w:ilvl w:val="0"/>
          <w:numId w:val="7"/>
        </w:numPr>
      </w:pPr>
      <w:r>
        <w:t>Term 3 -</w:t>
      </w:r>
    </w:p>
    <w:p w14:paraId="5B48DD92" w14:textId="6CF429E6" w:rsidR="003F5930" w:rsidRDefault="003F5930" w:rsidP="0055640D">
      <w:pPr>
        <w:pStyle w:val="ListParagraph"/>
        <w:numPr>
          <w:ilvl w:val="0"/>
          <w:numId w:val="7"/>
        </w:numPr>
      </w:pPr>
      <w:r>
        <w:t xml:space="preserve">Term 4 </w:t>
      </w:r>
      <w:r w:rsidR="004503DB">
        <w:t>–</w:t>
      </w:r>
    </w:p>
    <w:p w14:paraId="19EA12F6" w14:textId="2461FDE9" w:rsidR="004503DB" w:rsidRDefault="004503DB" w:rsidP="004503DB">
      <w:r>
        <w:t xml:space="preserve">This target will be reviewed and adjusted </w:t>
      </w:r>
      <w:r w:rsidR="000E56BD">
        <w:t>for 2027.</w:t>
      </w:r>
    </w:p>
    <w:p w14:paraId="25871E79" w14:textId="41BA436A" w:rsidR="005B791D" w:rsidRDefault="005B791D" w:rsidP="005B791D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Supporting Documentation:</w:t>
      </w:r>
    </w:p>
    <w:p w14:paraId="518D2D02" w14:textId="54732A57" w:rsidR="005B791D" w:rsidRPr="00890606" w:rsidRDefault="00890606" w:rsidP="005B791D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Include links to attendance policy and strategic plan </w:t>
      </w:r>
      <w:r w:rsidR="00C6314C">
        <w:rPr>
          <w:i/>
          <w:iCs/>
          <w:color w:val="000000" w:themeColor="text1"/>
        </w:rPr>
        <w:t xml:space="preserve">(an attendance goal should be part of </w:t>
      </w:r>
      <w:r w:rsidR="00361835">
        <w:rPr>
          <w:i/>
          <w:iCs/>
          <w:color w:val="000000" w:themeColor="text1"/>
        </w:rPr>
        <w:t>the next</w:t>
      </w:r>
      <w:r w:rsidR="00227AE0">
        <w:rPr>
          <w:i/>
          <w:iCs/>
          <w:color w:val="000000" w:themeColor="text1"/>
        </w:rPr>
        <w:t xml:space="preserve"> cycle of</w:t>
      </w:r>
      <w:r w:rsidR="00361835">
        <w:rPr>
          <w:i/>
          <w:iCs/>
          <w:color w:val="000000" w:themeColor="text1"/>
        </w:rPr>
        <w:t xml:space="preserve"> 3 year strategic plan</w:t>
      </w:r>
      <w:r w:rsidR="00227AE0">
        <w:rPr>
          <w:i/>
          <w:iCs/>
          <w:color w:val="000000" w:themeColor="text1"/>
        </w:rPr>
        <w:t>n</w:t>
      </w:r>
      <w:r w:rsidR="00E25E73">
        <w:rPr>
          <w:i/>
          <w:iCs/>
          <w:color w:val="000000" w:themeColor="text1"/>
        </w:rPr>
        <w:t>ing</w:t>
      </w:r>
      <w:r w:rsidR="00361835">
        <w:rPr>
          <w:i/>
          <w:iCs/>
          <w:color w:val="000000" w:themeColor="text1"/>
        </w:rPr>
        <w:t>).</w:t>
      </w:r>
    </w:p>
    <w:p w14:paraId="063B21AA" w14:textId="77777777" w:rsidR="005B791D" w:rsidRDefault="005B791D" w:rsidP="004503DB"/>
    <w:p w14:paraId="72FDDF04" w14:textId="77777777" w:rsidR="00AD383C" w:rsidRPr="0055640D" w:rsidRDefault="00AD383C" w:rsidP="004503DB"/>
    <w:p w14:paraId="5C9359B0" w14:textId="113ACB23" w:rsidR="0077218E" w:rsidRPr="0077218E" w:rsidRDefault="0077218E" w:rsidP="006B4ECC"/>
    <w:p w14:paraId="73FF1407" w14:textId="77777777" w:rsidR="0029607B" w:rsidRDefault="0029607B" w:rsidP="00814B07">
      <w:pPr>
        <w:rPr>
          <w:b/>
          <w:bCs/>
          <w:color w:val="0070C0"/>
          <w:sz w:val="28"/>
          <w:szCs w:val="28"/>
        </w:rPr>
      </w:pPr>
    </w:p>
    <w:p w14:paraId="195B2394" w14:textId="0BFC957A" w:rsidR="00814B07" w:rsidRDefault="00814B07" w:rsidP="00814B07">
      <w:pPr>
        <w:rPr>
          <w:b/>
          <w:bCs/>
          <w:color w:val="0070C0"/>
          <w:sz w:val="28"/>
          <w:szCs w:val="28"/>
        </w:rPr>
      </w:pPr>
      <w:r w:rsidRPr="00E758A8">
        <w:rPr>
          <w:b/>
          <w:bCs/>
          <w:color w:val="0070C0"/>
          <w:sz w:val="28"/>
          <w:szCs w:val="28"/>
        </w:rPr>
        <w:lastRenderedPageBreak/>
        <w:t>Stepped Att</w:t>
      </w:r>
      <w:r w:rsidR="00E758A8" w:rsidRPr="00E758A8">
        <w:rPr>
          <w:b/>
          <w:bCs/>
          <w:color w:val="0070C0"/>
          <w:sz w:val="28"/>
          <w:szCs w:val="28"/>
        </w:rPr>
        <w:t xml:space="preserve">endance Plan For </w:t>
      </w:r>
      <w:r w:rsidR="00E758A8" w:rsidRPr="00E758A8">
        <w:rPr>
          <w:b/>
          <w:bCs/>
          <w:color w:val="0070C0"/>
          <w:sz w:val="28"/>
          <w:szCs w:val="28"/>
          <w:highlight w:val="yellow"/>
        </w:rPr>
        <w:t>*** School</w:t>
      </w:r>
      <w:r w:rsidRPr="00E758A8">
        <w:rPr>
          <w:b/>
          <w:bCs/>
          <w:color w:val="0070C0"/>
          <w:sz w:val="28"/>
          <w:szCs w:val="28"/>
          <w:highlight w:val="yellow"/>
        </w:rPr>
        <w:t>:</w:t>
      </w:r>
    </w:p>
    <w:tbl>
      <w:tblPr>
        <w:tblStyle w:val="TableGrid"/>
        <w:tblW w:w="0" w:type="auto"/>
        <w:shd w:val="clear" w:color="auto" w:fill="47D459" w:themeFill="accent3" w:themeFillTint="99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758A8" w14:paraId="0D3D62F2" w14:textId="77777777" w:rsidTr="008A5059">
        <w:tc>
          <w:tcPr>
            <w:tcW w:w="15388" w:type="dxa"/>
            <w:gridSpan w:val="3"/>
            <w:tcBorders>
              <w:bottom w:val="single" w:sz="4" w:space="0" w:color="auto"/>
            </w:tcBorders>
            <w:shd w:val="clear" w:color="auto" w:fill="47D459" w:themeFill="accent3" w:themeFillTint="99"/>
          </w:tcPr>
          <w:p w14:paraId="1CC002F0" w14:textId="5FC6C13B" w:rsidR="00E758A8" w:rsidRDefault="00C314AA" w:rsidP="00C314AA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182800">
              <w:rPr>
                <w:sz w:val="28"/>
                <w:szCs w:val="28"/>
              </w:rPr>
              <w:t>For students with less than 5 days absence in a school term</w:t>
            </w:r>
            <w:r>
              <w:rPr>
                <w:sz w:val="28"/>
                <w:szCs w:val="28"/>
              </w:rPr>
              <w:t xml:space="preserve">  -  </w:t>
            </w:r>
            <w:r w:rsidRPr="00C314AA">
              <w:rPr>
                <w:b/>
                <w:bCs/>
                <w:sz w:val="28"/>
                <w:szCs w:val="28"/>
              </w:rPr>
              <w:t>GOOD</w:t>
            </w:r>
          </w:p>
        </w:tc>
      </w:tr>
      <w:tr w:rsidR="00C314AA" w14:paraId="1495D104" w14:textId="77777777" w:rsidTr="008A5059">
        <w:tc>
          <w:tcPr>
            <w:tcW w:w="5129" w:type="dxa"/>
            <w:tcBorders>
              <w:bottom w:val="single" w:sz="4" w:space="0" w:color="auto"/>
            </w:tcBorders>
            <w:shd w:val="clear" w:color="auto" w:fill="C1F0C7" w:themeFill="accent3" w:themeFillTint="33"/>
          </w:tcPr>
          <w:p w14:paraId="5171EB71" w14:textId="5DFD8E3C" w:rsidR="00C314AA" w:rsidRPr="0098778A" w:rsidRDefault="0098778A" w:rsidP="0098778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Actions</w:t>
            </w:r>
          </w:p>
        </w:tc>
        <w:tc>
          <w:tcPr>
            <w:tcW w:w="5129" w:type="dxa"/>
            <w:tcBorders>
              <w:bottom w:val="single" w:sz="4" w:space="0" w:color="auto"/>
            </w:tcBorders>
            <w:shd w:val="clear" w:color="auto" w:fill="C1F0C7" w:themeFill="accent3" w:themeFillTint="33"/>
          </w:tcPr>
          <w:p w14:paraId="1A62342E" w14:textId="011895F2" w:rsidR="00C314AA" w:rsidRPr="0098778A" w:rsidRDefault="0098778A" w:rsidP="0098778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Who is </w:t>
            </w:r>
            <w:r w:rsidR="006816A8">
              <w:rPr>
                <w:color w:val="000000" w:themeColor="text1"/>
                <w:sz w:val="28"/>
                <w:szCs w:val="28"/>
              </w:rPr>
              <w:t>R</w:t>
            </w:r>
            <w:r>
              <w:rPr>
                <w:color w:val="000000" w:themeColor="text1"/>
                <w:sz w:val="28"/>
                <w:szCs w:val="28"/>
              </w:rPr>
              <w:t>esponsible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C1F0C7" w:themeFill="accent3" w:themeFillTint="33"/>
          </w:tcPr>
          <w:p w14:paraId="07098DE9" w14:textId="60D5A4DC" w:rsidR="00C314AA" w:rsidRPr="0098778A" w:rsidRDefault="0098778A" w:rsidP="00987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Outcome</w:t>
            </w:r>
          </w:p>
        </w:tc>
      </w:tr>
      <w:tr w:rsidR="0098778A" w14:paraId="7533A2DE" w14:textId="77777777" w:rsidTr="0098778A">
        <w:tc>
          <w:tcPr>
            <w:tcW w:w="5129" w:type="dxa"/>
          </w:tcPr>
          <w:p w14:paraId="6C3ED4E8" w14:textId="7832215A" w:rsidR="009367FB" w:rsidRDefault="009367FB" w:rsidP="009367FB">
            <w:pPr>
              <w:pStyle w:val="ListBullet"/>
            </w:pPr>
            <w:r w:rsidRPr="002A5895">
              <w:rPr>
                <w:b/>
                <w:bCs/>
              </w:rPr>
              <w:t>Recognition and Celebration:</w:t>
            </w:r>
            <w:r>
              <w:br/>
              <w:t>- Acknowledge students with excellent attendance through certificates, assemblies, or newsletters.</w:t>
            </w:r>
            <w:r>
              <w:br/>
              <w:t xml:space="preserve">- Include attendance achievements in student reports and other </w:t>
            </w:r>
            <w:r w:rsidR="002A5895">
              <w:t>reporting methods.</w:t>
            </w:r>
          </w:p>
          <w:p w14:paraId="417AC44A" w14:textId="77777777" w:rsidR="009367FB" w:rsidRDefault="009367FB" w:rsidP="009367FB">
            <w:pPr>
              <w:pStyle w:val="ListBullet"/>
            </w:pPr>
            <w:r w:rsidRPr="002A5895">
              <w:rPr>
                <w:b/>
                <w:bCs/>
              </w:rPr>
              <w:t>Incentives and Rewards:</w:t>
            </w:r>
            <w:r>
              <w:br/>
              <w:t>- Offer small rewards (e.g., stationery, vouchers, extra privileges) for consistent attendance.</w:t>
            </w:r>
            <w:r>
              <w:br/>
              <w:t>- Create a termly draw or prize for students meeting the attendance goal.</w:t>
            </w:r>
          </w:p>
          <w:p w14:paraId="1DC9160A" w14:textId="77777777" w:rsidR="009367FB" w:rsidRDefault="009367FB" w:rsidP="009367FB">
            <w:pPr>
              <w:pStyle w:val="ListBullet"/>
            </w:pPr>
            <w:r w:rsidRPr="002A5895">
              <w:rPr>
                <w:b/>
                <w:bCs/>
              </w:rPr>
              <w:t>Positive Reinforcement:</w:t>
            </w:r>
            <w:r>
              <w:br/>
              <w:t>- Teachers and staff provide verbal praise and encouragement.</w:t>
            </w:r>
            <w:r>
              <w:br/>
              <w:t>- Display attendance achievements on classroom or school noticeboards.</w:t>
            </w:r>
          </w:p>
          <w:p w14:paraId="465F383A" w14:textId="77777777" w:rsidR="009367FB" w:rsidRDefault="009367FB" w:rsidP="009367FB">
            <w:pPr>
              <w:pStyle w:val="ListBullet"/>
            </w:pPr>
            <w:r w:rsidRPr="002A5895">
              <w:rPr>
                <w:b/>
                <w:bCs/>
              </w:rPr>
              <w:t>Whānau Engagement:</w:t>
            </w:r>
            <w:r>
              <w:br/>
              <w:t>- Send positive communication home to whānau acknowledging their support.</w:t>
            </w:r>
            <w:r>
              <w:br/>
              <w:t>- Invite families to celebrate attendance milestones at school events.</w:t>
            </w:r>
          </w:p>
          <w:p w14:paraId="21C08E4F" w14:textId="5202D0F7" w:rsidR="0098778A" w:rsidRPr="002A5895" w:rsidRDefault="009367FB" w:rsidP="002A5895">
            <w:pPr>
              <w:pStyle w:val="ListBullet"/>
            </w:pPr>
            <w:r w:rsidRPr="002A5895">
              <w:rPr>
                <w:b/>
                <w:bCs/>
              </w:rPr>
              <w:t>Monitoring and Feedback:</w:t>
            </w:r>
            <w:r>
              <w:br/>
              <w:t>- Track attendance data regularly to ensure students remain on track.</w:t>
            </w:r>
            <w:r>
              <w:br/>
              <w:t>- Provide feedback to students on their attendance progress.</w:t>
            </w:r>
          </w:p>
        </w:tc>
        <w:tc>
          <w:tcPr>
            <w:tcW w:w="5129" w:type="dxa"/>
          </w:tcPr>
          <w:p w14:paraId="1A27F3A1" w14:textId="77777777" w:rsidR="00EB0862" w:rsidRDefault="00EB0862" w:rsidP="00EB0862">
            <w:pPr>
              <w:pStyle w:val="ListBullet"/>
            </w:pPr>
            <w:r w:rsidRPr="00EB0862">
              <w:rPr>
                <w:b/>
                <w:bCs/>
              </w:rPr>
              <w:t>Classroom Teachers:</w:t>
            </w:r>
            <w:r>
              <w:br/>
              <w:t>- Monitor daily attendance and encourage students.</w:t>
            </w:r>
            <w:r>
              <w:br/>
              <w:t>- Nominate students for recognition and rewards.</w:t>
            </w:r>
          </w:p>
          <w:p w14:paraId="09BA241C" w14:textId="77777777" w:rsidR="00EB0862" w:rsidRDefault="00EB0862" w:rsidP="00EB0862">
            <w:pPr>
              <w:pStyle w:val="ListBullet"/>
            </w:pPr>
            <w:r w:rsidRPr="00EB0862">
              <w:rPr>
                <w:b/>
                <w:bCs/>
              </w:rPr>
              <w:t>Attendance Officer / Admin Staff:</w:t>
            </w:r>
            <w:r>
              <w:br/>
              <w:t>- Maintain accurate records and generate attendance reports.</w:t>
            </w:r>
            <w:r>
              <w:br/>
              <w:t>- Coordinate communication with whānau.</w:t>
            </w:r>
          </w:p>
          <w:p w14:paraId="4507F7A0" w14:textId="77777777" w:rsidR="00EB0862" w:rsidRDefault="00EB0862" w:rsidP="00EB0862">
            <w:pPr>
              <w:pStyle w:val="ListBullet"/>
            </w:pPr>
            <w:r w:rsidRPr="00EB0862">
              <w:rPr>
                <w:b/>
                <w:bCs/>
              </w:rPr>
              <w:t>Senior Leadership Team:</w:t>
            </w:r>
            <w:r>
              <w:br/>
              <w:t>- Approve and support recognition initiatives.</w:t>
            </w:r>
            <w:r>
              <w:br/>
              <w:t>- Ensure alignment with school-wide attendance goals and Ministry requirements.</w:t>
            </w:r>
          </w:p>
          <w:p w14:paraId="5DB38A78" w14:textId="77777777" w:rsidR="00EB0862" w:rsidRDefault="00EB0862" w:rsidP="00EB0862">
            <w:pPr>
              <w:pStyle w:val="ListBullet"/>
            </w:pPr>
            <w:r w:rsidRPr="00EB0862">
              <w:rPr>
                <w:b/>
                <w:bCs/>
              </w:rPr>
              <w:t>Whānau / Caregivers:</w:t>
            </w:r>
            <w:r>
              <w:br/>
              <w:t>- Support regular attendance through routines and communication with the school.</w:t>
            </w:r>
          </w:p>
          <w:p w14:paraId="73203A8C" w14:textId="77777777" w:rsidR="0098778A" w:rsidRDefault="0098778A" w:rsidP="00EB086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30" w:type="dxa"/>
          </w:tcPr>
          <w:p w14:paraId="205D0026" w14:textId="77777777" w:rsidR="00423DDF" w:rsidRDefault="00423DDF" w:rsidP="00423DDF">
            <w:pPr>
              <w:pStyle w:val="ListBullet"/>
            </w:pPr>
            <w:r w:rsidRPr="00423DDF">
              <w:rPr>
                <w:b/>
                <w:bCs/>
              </w:rPr>
              <w:t>Visible Recognition:</w:t>
            </w:r>
            <w:r>
              <w:br/>
              <w:t>- Termly certificates awarded at assemblies.</w:t>
            </w:r>
            <w:r>
              <w:br/>
              <w:t>- Attendance wall or digital dashboard celebrating students with excellent attendance.</w:t>
            </w:r>
          </w:p>
          <w:p w14:paraId="2ADB8520" w14:textId="77777777" w:rsidR="00423DDF" w:rsidRDefault="00423DDF" w:rsidP="00423DDF">
            <w:pPr>
              <w:pStyle w:val="ListBullet"/>
            </w:pPr>
            <w:r w:rsidRPr="00423DDF">
              <w:rPr>
                <w:b/>
                <w:bCs/>
              </w:rPr>
              <w:t>Positive School Culture:</w:t>
            </w:r>
            <w:r>
              <w:br/>
              <w:t>- Students feel proud of their attendance and motivated to maintain it.</w:t>
            </w:r>
            <w:r>
              <w:br/>
              <w:t>- Attendance is seen as a shared responsibility between school and whānau.</w:t>
            </w:r>
          </w:p>
          <w:p w14:paraId="428EF5DD" w14:textId="77777777" w:rsidR="00423DDF" w:rsidRDefault="00423DDF" w:rsidP="00423DDF">
            <w:pPr>
              <w:pStyle w:val="ListBullet"/>
            </w:pPr>
            <w:r w:rsidRPr="00423DDF">
              <w:rPr>
                <w:b/>
                <w:bCs/>
              </w:rPr>
              <w:t>Improved Engagement:</w:t>
            </w:r>
            <w:r>
              <w:br/>
              <w:t>- Students with strong attendance are more engaged in learning and school activities.</w:t>
            </w:r>
            <w:r>
              <w:br/>
              <w:t>- Whānau feel valued and involved in their child’s success.</w:t>
            </w:r>
          </w:p>
          <w:p w14:paraId="017B05F1" w14:textId="77777777" w:rsidR="00423DDF" w:rsidRDefault="00423DDF" w:rsidP="00423DDF">
            <w:pPr>
              <w:pStyle w:val="ListBullet"/>
            </w:pPr>
            <w:r w:rsidRPr="00423DDF">
              <w:rPr>
                <w:b/>
                <w:bCs/>
              </w:rPr>
              <w:t>Data-Driven Support:</w:t>
            </w:r>
            <w:r>
              <w:br/>
              <w:t>- Attendance data used to identify and support students who may be close to the threshold.</w:t>
            </w:r>
            <w:r>
              <w:br/>
              <w:t>- Early intervention prevents minor absences from becoming patterns.</w:t>
            </w:r>
          </w:p>
          <w:p w14:paraId="3673027F" w14:textId="77777777" w:rsidR="0098778A" w:rsidRDefault="0098778A" w:rsidP="00423DDF">
            <w:pPr>
              <w:rPr>
                <w:sz w:val="28"/>
                <w:szCs w:val="28"/>
              </w:rPr>
            </w:pPr>
          </w:p>
        </w:tc>
      </w:tr>
    </w:tbl>
    <w:p w14:paraId="33899CFB" w14:textId="77777777" w:rsidR="00E758A8" w:rsidRDefault="00E758A8" w:rsidP="00814B07">
      <w:pPr>
        <w:rPr>
          <w:b/>
          <w:bCs/>
          <w:color w:val="0070C0"/>
          <w:sz w:val="28"/>
          <w:szCs w:val="28"/>
        </w:rPr>
      </w:pPr>
    </w:p>
    <w:p w14:paraId="37405471" w14:textId="77777777" w:rsidR="00D237A4" w:rsidRPr="00E13F4E" w:rsidRDefault="00D237A4" w:rsidP="006B4ECC"/>
    <w:tbl>
      <w:tblPr>
        <w:tblStyle w:val="TableGrid"/>
        <w:tblW w:w="0" w:type="auto"/>
        <w:tblInd w:w="-113" w:type="dxa"/>
        <w:shd w:val="clear" w:color="auto" w:fill="47D459" w:themeFill="accent3" w:themeFillTint="99"/>
        <w:tblLook w:val="04A0" w:firstRow="1" w:lastRow="0" w:firstColumn="1" w:lastColumn="0" w:noHBand="0" w:noVBand="1"/>
      </w:tblPr>
      <w:tblGrid>
        <w:gridCol w:w="113"/>
        <w:gridCol w:w="5129"/>
        <w:gridCol w:w="5129"/>
        <w:gridCol w:w="5130"/>
      </w:tblGrid>
      <w:tr w:rsidR="00423DDF" w14:paraId="7CD0728E" w14:textId="77777777" w:rsidTr="007A54A0">
        <w:trPr>
          <w:gridBefore w:val="1"/>
          <w:wBefore w:w="113" w:type="dxa"/>
        </w:trPr>
        <w:tc>
          <w:tcPr>
            <w:tcW w:w="15388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6E8EF16A" w14:textId="402088CD" w:rsidR="00423DDF" w:rsidRDefault="00A023FB" w:rsidP="002F49E5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182800">
              <w:rPr>
                <w:sz w:val="28"/>
                <w:szCs w:val="28"/>
              </w:rPr>
              <w:lastRenderedPageBreak/>
              <w:t>For students with up to 10 days absence in a school term</w:t>
            </w:r>
            <w:r>
              <w:rPr>
                <w:sz w:val="28"/>
                <w:szCs w:val="28"/>
              </w:rPr>
              <w:t xml:space="preserve">  -  </w:t>
            </w:r>
            <w:r w:rsidRPr="001E5434">
              <w:rPr>
                <w:b/>
                <w:bCs/>
                <w:sz w:val="28"/>
                <w:szCs w:val="28"/>
              </w:rPr>
              <w:t>WORRYING</w:t>
            </w:r>
          </w:p>
        </w:tc>
      </w:tr>
      <w:tr w:rsidR="00423DDF" w:rsidRPr="0098778A" w14:paraId="32A46E66" w14:textId="77777777" w:rsidTr="007A54A0">
        <w:trPr>
          <w:gridBefore w:val="1"/>
          <w:wBefore w:w="113" w:type="dxa"/>
        </w:trPr>
        <w:tc>
          <w:tcPr>
            <w:tcW w:w="5129" w:type="dxa"/>
            <w:tcBorders>
              <w:bottom w:val="single" w:sz="4" w:space="0" w:color="auto"/>
            </w:tcBorders>
            <w:shd w:val="clear" w:color="auto" w:fill="F8F89E"/>
          </w:tcPr>
          <w:p w14:paraId="63C7A5F3" w14:textId="77777777" w:rsidR="00423DDF" w:rsidRPr="0098778A" w:rsidRDefault="00423DDF" w:rsidP="002F49E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Actions</w:t>
            </w:r>
          </w:p>
        </w:tc>
        <w:tc>
          <w:tcPr>
            <w:tcW w:w="5129" w:type="dxa"/>
            <w:tcBorders>
              <w:bottom w:val="single" w:sz="4" w:space="0" w:color="auto"/>
            </w:tcBorders>
            <w:shd w:val="clear" w:color="auto" w:fill="F8F89E"/>
          </w:tcPr>
          <w:p w14:paraId="7D36388F" w14:textId="62E7BB97" w:rsidR="00423DDF" w:rsidRPr="0098778A" w:rsidRDefault="00423DDF" w:rsidP="002F49E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Who is </w:t>
            </w:r>
            <w:r w:rsidR="006816A8">
              <w:rPr>
                <w:color w:val="000000" w:themeColor="text1"/>
                <w:sz w:val="28"/>
                <w:szCs w:val="28"/>
              </w:rPr>
              <w:t>R</w:t>
            </w:r>
            <w:r>
              <w:rPr>
                <w:color w:val="000000" w:themeColor="text1"/>
                <w:sz w:val="28"/>
                <w:szCs w:val="28"/>
              </w:rPr>
              <w:t>esponsible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8F89E"/>
          </w:tcPr>
          <w:p w14:paraId="2424CBA0" w14:textId="77777777" w:rsidR="00423DDF" w:rsidRPr="0098778A" w:rsidRDefault="00423DDF" w:rsidP="002F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Outcome</w:t>
            </w:r>
          </w:p>
        </w:tc>
      </w:tr>
      <w:tr w:rsidR="00423DDF" w14:paraId="045BAD02" w14:textId="77777777" w:rsidTr="007A54A0">
        <w:trPr>
          <w:gridBefore w:val="1"/>
          <w:wBefore w:w="113" w:type="dxa"/>
        </w:trPr>
        <w:tc>
          <w:tcPr>
            <w:tcW w:w="5129" w:type="dxa"/>
          </w:tcPr>
          <w:p w14:paraId="2480CF4A" w14:textId="77777777" w:rsidR="00194F44" w:rsidRDefault="00194F44" w:rsidP="00194F44">
            <w:pPr>
              <w:pStyle w:val="ListBullet"/>
            </w:pPr>
            <w:r w:rsidRPr="00194F44">
              <w:rPr>
                <w:b/>
                <w:bCs/>
              </w:rPr>
              <w:t>Early Identification and Monitoring:</w:t>
            </w:r>
            <w:r>
              <w:br/>
              <w:t>- Use weekly attendance reports to flag students approaching or exceeding 10 days of absence.</w:t>
            </w:r>
            <w:r>
              <w:br/>
              <w:t>- Track patterns (e.g. frequent Mondays/Fridays, illness-related absences).</w:t>
            </w:r>
          </w:p>
          <w:p w14:paraId="7C9D1482" w14:textId="77777777" w:rsidR="00194F44" w:rsidRDefault="00194F44" w:rsidP="00194F44">
            <w:pPr>
              <w:pStyle w:val="ListBullet"/>
            </w:pPr>
            <w:r w:rsidRPr="00194F44">
              <w:rPr>
                <w:b/>
                <w:bCs/>
              </w:rPr>
              <w:t>Initial Contact and Check-In:</w:t>
            </w:r>
            <w:r>
              <w:br/>
              <w:t>- Teachers or pastoral staff initiate a friendly check-in with the student.</w:t>
            </w:r>
            <w:r>
              <w:br/>
              <w:t>- Contact whānau to understand reasons for absence and offer support.</w:t>
            </w:r>
          </w:p>
          <w:p w14:paraId="3128BC22" w14:textId="77777777" w:rsidR="00194F44" w:rsidRDefault="00194F44" w:rsidP="00194F44">
            <w:pPr>
              <w:pStyle w:val="ListBullet"/>
            </w:pPr>
            <w:r w:rsidRPr="00194F44">
              <w:rPr>
                <w:b/>
                <w:bCs/>
              </w:rPr>
              <w:t>Supportive Conversations:</w:t>
            </w:r>
            <w:r>
              <w:br/>
              <w:t>- Hold informal meetings with students to discuss attendance and any barriers.</w:t>
            </w:r>
            <w:r>
              <w:br/>
              <w:t>- Use restorative practices to build trust and encourage open dialogue.</w:t>
            </w:r>
          </w:p>
          <w:p w14:paraId="02C63667" w14:textId="77777777" w:rsidR="00194F44" w:rsidRDefault="00194F44" w:rsidP="00194F44">
            <w:pPr>
              <w:pStyle w:val="ListBullet"/>
            </w:pPr>
            <w:r w:rsidRPr="00194F44">
              <w:rPr>
                <w:b/>
                <w:bCs/>
              </w:rPr>
              <w:t>Tailored Support Plans:</w:t>
            </w:r>
            <w:r>
              <w:br/>
              <w:t>- Develop short-term attendance goals with the student.</w:t>
            </w:r>
            <w:r>
              <w:br/>
              <w:t>- Offer support such as counselling, learning catch-up sessions, or mentoring.</w:t>
            </w:r>
          </w:p>
          <w:p w14:paraId="0921BCED" w14:textId="77777777" w:rsidR="00194F44" w:rsidRDefault="00194F44" w:rsidP="00194F44">
            <w:pPr>
              <w:pStyle w:val="ListBullet"/>
            </w:pPr>
            <w:r w:rsidRPr="00194F44">
              <w:rPr>
                <w:b/>
                <w:bCs/>
              </w:rPr>
              <w:t>Whānau Collaboration:</w:t>
            </w:r>
            <w:r>
              <w:br/>
              <w:t>- Invite whānau to participate in planning and support strategies.</w:t>
            </w:r>
            <w:r>
              <w:br/>
              <w:t>- Provide resources or referrals to external agencies if needed.</w:t>
            </w:r>
          </w:p>
          <w:p w14:paraId="3397DD55" w14:textId="3C5AAC1F" w:rsidR="00423DDF" w:rsidRPr="002A5895" w:rsidRDefault="00194F44" w:rsidP="00194F44">
            <w:pPr>
              <w:pStyle w:val="ListBullet"/>
            </w:pPr>
            <w:r w:rsidRPr="00194F44">
              <w:rPr>
                <w:b/>
                <w:bCs/>
              </w:rPr>
              <w:t>Positive Reinforcement:</w:t>
            </w:r>
            <w:r>
              <w:br/>
              <w:t xml:space="preserve">- </w:t>
            </w:r>
            <w:proofErr w:type="spellStart"/>
            <w:r>
              <w:t>Recognise</w:t>
            </w:r>
            <w:proofErr w:type="spellEnd"/>
            <w:r>
              <w:t xml:space="preserve"> improvements in attendance with praise or small incentives.</w:t>
            </w:r>
            <w:r>
              <w:br/>
              <w:t>- Celebrate progress publicly or privately, depending on student preference.</w:t>
            </w:r>
          </w:p>
        </w:tc>
        <w:tc>
          <w:tcPr>
            <w:tcW w:w="5129" w:type="dxa"/>
          </w:tcPr>
          <w:p w14:paraId="1843DEF9" w14:textId="77777777" w:rsidR="000630B4" w:rsidRDefault="000630B4" w:rsidP="000630B4">
            <w:pPr>
              <w:pStyle w:val="ListBullet"/>
            </w:pPr>
            <w:r w:rsidRPr="000630B4">
              <w:rPr>
                <w:b/>
                <w:bCs/>
              </w:rPr>
              <w:t>Classroom Teachers:</w:t>
            </w:r>
            <w:r>
              <w:br/>
              <w:t>- Monitor attendance and initiate early conversations.</w:t>
            </w:r>
            <w:r>
              <w:br/>
              <w:t>- Provide catch-up work and maintain a welcoming classroom environment.</w:t>
            </w:r>
          </w:p>
          <w:p w14:paraId="7ECDA416" w14:textId="77777777" w:rsidR="000630B4" w:rsidRDefault="000630B4" w:rsidP="000630B4">
            <w:pPr>
              <w:pStyle w:val="ListBullet"/>
            </w:pPr>
            <w:r w:rsidRPr="000630B4">
              <w:rPr>
                <w:b/>
                <w:bCs/>
              </w:rPr>
              <w:t>Pastoral Care / Guidance Counsellors:</w:t>
            </w:r>
            <w:r>
              <w:br/>
              <w:t>- Lead student meetings and develop support plans.</w:t>
            </w:r>
            <w:r>
              <w:br/>
              <w:t>- Liaise with whānau and external support services.</w:t>
            </w:r>
          </w:p>
          <w:p w14:paraId="321CD196" w14:textId="77777777" w:rsidR="000630B4" w:rsidRDefault="000630B4" w:rsidP="000630B4">
            <w:pPr>
              <w:pStyle w:val="ListBullet"/>
            </w:pPr>
            <w:r w:rsidRPr="000630B4">
              <w:rPr>
                <w:b/>
                <w:bCs/>
              </w:rPr>
              <w:t>Attendance Officer / Admin Staff:</w:t>
            </w:r>
            <w:r>
              <w:br/>
              <w:t>- Generate regular attendance reports.</w:t>
            </w:r>
            <w:r>
              <w:br/>
              <w:t>- Record interventions and communications accurately.</w:t>
            </w:r>
          </w:p>
          <w:p w14:paraId="16A1290F" w14:textId="77777777" w:rsidR="000630B4" w:rsidRDefault="000630B4" w:rsidP="000630B4">
            <w:pPr>
              <w:pStyle w:val="ListBullet"/>
            </w:pPr>
            <w:r w:rsidRPr="000630B4">
              <w:rPr>
                <w:b/>
                <w:bCs/>
              </w:rPr>
              <w:t>Senior Leadership Team:</w:t>
            </w:r>
            <w:r>
              <w:br/>
              <w:t>- Oversee implementation of attendance strategies.</w:t>
            </w:r>
            <w:r>
              <w:br/>
              <w:t>- Ensure consistency and alignment with school policies and Ministry expectations.</w:t>
            </w:r>
          </w:p>
          <w:p w14:paraId="3FB0D574" w14:textId="77777777" w:rsidR="000630B4" w:rsidRDefault="000630B4" w:rsidP="000630B4">
            <w:pPr>
              <w:pStyle w:val="ListBullet"/>
            </w:pPr>
            <w:r w:rsidRPr="000630B4">
              <w:rPr>
                <w:b/>
                <w:bCs/>
              </w:rPr>
              <w:t>Whānau / Caregivers:</w:t>
            </w:r>
            <w:r>
              <w:br/>
              <w:t>- Engage in communication and support attendance goals.</w:t>
            </w:r>
            <w:r>
              <w:br/>
              <w:t>- Share relevant information that may impact attendance.</w:t>
            </w:r>
          </w:p>
          <w:p w14:paraId="736A5C25" w14:textId="77777777" w:rsidR="00423DDF" w:rsidRDefault="00423DDF" w:rsidP="000630B4">
            <w:pPr>
              <w:pStyle w:val="ListBullet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30" w:type="dxa"/>
          </w:tcPr>
          <w:p w14:paraId="60DFC959" w14:textId="77777777" w:rsidR="007A54A0" w:rsidRDefault="007A54A0" w:rsidP="007A54A0">
            <w:pPr>
              <w:pStyle w:val="ListBullet"/>
            </w:pPr>
            <w:r w:rsidRPr="007A54A0">
              <w:rPr>
                <w:b/>
                <w:bCs/>
              </w:rPr>
              <w:t>Proactive Support:</w:t>
            </w:r>
            <w:r>
              <w:br/>
              <w:t>- Students feel noticed and supported before attendance becomes a serious concern.</w:t>
            </w:r>
            <w:r>
              <w:br/>
              <w:t>- Staff respond with empathy and solutions, not punishment.</w:t>
            </w:r>
          </w:p>
          <w:p w14:paraId="043C5000" w14:textId="77777777" w:rsidR="007A54A0" w:rsidRDefault="007A54A0" w:rsidP="007A54A0">
            <w:pPr>
              <w:pStyle w:val="ListBullet"/>
            </w:pPr>
            <w:r w:rsidRPr="007A54A0">
              <w:rPr>
                <w:b/>
                <w:bCs/>
              </w:rPr>
              <w:t>Improved Attendance:</w:t>
            </w:r>
            <w:r>
              <w:br/>
              <w:t>- Students begin to attend more regularly due to increased support and motivation.</w:t>
            </w:r>
            <w:r>
              <w:br/>
              <w:t>- Absences decrease over time, especially when barriers are addressed.</w:t>
            </w:r>
          </w:p>
          <w:p w14:paraId="18D5BC5C" w14:textId="77777777" w:rsidR="007A54A0" w:rsidRDefault="007A54A0" w:rsidP="007A54A0">
            <w:pPr>
              <w:pStyle w:val="ListBullet"/>
            </w:pPr>
            <w:r w:rsidRPr="007A54A0">
              <w:rPr>
                <w:b/>
                <w:bCs/>
              </w:rPr>
              <w:t>Stronger Relationships:</w:t>
            </w:r>
            <w:r>
              <w:br/>
              <w:t>- Trust builds between students, staff, and whānau.</w:t>
            </w:r>
            <w:r>
              <w:br/>
              <w:t>- Students feel safe discussing challenges and asking for help.</w:t>
            </w:r>
          </w:p>
          <w:p w14:paraId="5AA7DD47" w14:textId="77777777" w:rsidR="007A54A0" w:rsidRDefault="007A54A0" w:rsidP="007A54A0">
            <w:pPr>
              <w:pStyle w:val="ListBullet"/>
            </w:pPr>
            <w:r w:rsidRPr="007A54A0">
              <w:rPr>
                <w:b/>
                <w:bCs/>
              </w:rPr>
              <w:t>Data-Driven Decisions:</w:t>
            </w:r>
            <w:r>
              <w:br/>
              <w:t>- Attendance data informs targeted interventions.</w:t>
            </w:r>
            <w:r>
              <w:br/>
              <w:t>- School leadership can evaluate the effectiveness of strategies and adjust as needed.</w:t>
            </w:r>
          </w:p>
          <w:p w14:paraId="65C2FC73" w14:textId="77777777" w:rsidR="00423DDF" w:rsidRDefault="00423DDF" w:rsidP="007A54A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</w:p>
        </w:tc>
      </w:tr>
      <w:tr w:rsidR="007A54A0" w14:paraId="7B9F1200" w14:textId="77777777" w:rsidTr="00BE2282">
        <w:tc>
          <w:tcPr>
            <w:tcW w:w="15501" w:type="dxa"/>
            <w:gridSpan w:val="4"/>
            <w:tcBorders>
              <w:bottom w:val="single" w:sz="4" w:space="0" w:color="auto"/>
            </w:tcBorders>
            <w:shd w:val="clear" w:color="auto" w:fill="FFC000"/>
          </w:tcPr>
          <w:p w14:paraId="6D15E27F" w14:textId="5FAFB918" w:rsidR="007A54A0" w:rsidRDefault="007A54A0" w:rsidP="002F49E5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182800">
              <w:rPr>
                <w:sz w:val="28"/>
                <w:szCs w:val="28"/>
              </w:rPr>
              <w:lastRenderedPageBreak/>
              <w:t>For students with up to 1</w:t>
            </w:r>
            <w:r w:rsidR="00A87C71">
              <w:rPr>
                <w:sz w:val="28"/>
                <w:szCs w:val="28"/>
              </w:rPr>
              <w:t>5</w:t>
            </w:r>
            <w:r w:rsidRPr="00182800">
              <w:rPr>
                <w:sz w:val="28"/>
                <w:szCs w:val="28"/>
              </w:rPr>
              <w:t xml:space="preserve"> days absence in a school term</w:t>
            </w:r>
            <w:r>
              <w:rPr>
                <w:sz w:val="28"/>
                <w:szCs w:val="28"/>
              </w:rPr>
              <w:t xml:space="preserve">  -  </w:t>
            </w:r>
            <w:r w:rsidR="00BE2282" w:rsidRPr="00BE2282">
              <w:rPr>
                <w:b/>
                <w:bCs/>
                <w:sz w:val="28"/>
                <w:szCs w:val="28"/>
              </w:rPr>
              <w:t>CONCERNING</w:t>
            </w:r>
          </w:p>
        </w:tc>
      </w:tr>
      <w:tr w:rsidR="007A54A0" w:rsidRPr="0098778A" w14:paraId="7F0BAC60" w14:textId="77777777" w:rsidTr="00BE2282">
        <w:tc>
          <w:tcPr>
            <w:tcW w:w="5242" w:type="dxa"/>
            <w:gridSpan w:val="2"/>
            <w:tcBorders>
              <w:bottom w:val="single" w:sz="4" w:space="0" w:color="auto"/>
            </w:tcBorders>
            <w:shd w:val="clear" w:color="auto" w:fill="F1D2A5"/>
          </w:tcPr>
          <w:p w14:paraId="2082918C" w14:textId="77777777" w:rsidR="007A54A0" w:rsidRPr="0098778A" w:rsidRDefault="007A54A0" w:rsidP="002F49E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Actions</w:t>
            </w:r>
          </w:p>
        </w:tc>
        <w:tc>
          <w:tcPr>
            <w:tcW w:w="5129" w:type="dxa"/>
            <w:tcBorders>
              <w:bottom w:val="single" w:sz="4" w:space="0" w:color="auto"/>
            </w:tcBorders>
            <w:shd w:val="clear" w:color="auto" w:fill="F1D2A5"/>
          </w:tcPr>
          <w:p w14:paraId="4C1671F7" w14:textId="117D6433" w:rsidR="007A54A0" w:rsidRPr="0098778A" w:rsidRDefault="007A54A0" w:rsidP="002F49E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Who is </w:t>
            </w:r>
            <w:r w:rsidR="006816A8">
              <w:rPr>
                <w:color w:val="000000" w:themeColor="text1"/>
                <w:sz w:val="28"/>
                <w:szCs w:val="28"/>
              </w:rPr>
              <w:t>R</w:t>
            </w:r>
            <w:r>
              <w:rPr>
                <w:color w:val="000000" w:themeColor="text1"/>
                <w:sz w:val="28"/>
                <w:szCs w:val="28"/>
              </w:rPr>
              <w:t>esponsible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1D2A5"/>
          </w:tcPr>
          <w:p w14:paraId="141EDCDC" w14:textId="77777777" w:rsidR="007A54A0" w:rsidRPr="0098778A" w:rsidRDefault="007A54A0" w:rsidP="002F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Outcome</w:t>
            </w:r>
          </w:p>
        </w:tc>
      </w:tr>
      <w:tr w:rsidR="007A54A0" w14:paraId="00B10546" w14:textId="77777777" w:rsidTr="007A54A0">
        <w:tc>
          <w:tcPr>
            <w:tcW w:w="5242" w:type="dxa"/>
            <w:gridSpan w:val="2"/>
          </w:tcPr>
          <w:p w14:paraId="49C913FD" w14:textId="77777777" w:rsidR="00A168FC" w:rsidRDefault="00A168FC" w:rsidP="00A168FC">
            <w:pPr>
              <w:pStyle w:val="ListBullet"/>
            </w:pPr>
            <w:r w:rsidRPr="00A168FC">
              <w:rPr>
                <w:b/>
                <w:bCs/>
              </w:rPr>
              <w:t>Comprehensive Attendance Review:</w:t>
            </w:r>
            <w:r>
              <w:br/>
              <w:t>- Conduct a detailed review of the student’s attendance history and patterns.</w:t>
            </w:r>
            <w:r>
              <w:br/>
              <w:t>- Identify underlying causes (e.g. health, anxiety, family issues, disengagement).</w:t>
            </w:r>
          </w:p>
          <w:p w14:paraId="4210B65D" w14:textId="77777777" w:rsidR="00A168FC" w:rsidRDefault="00A168FC" w:rsidP="00A168FC">
            <w:pPr>
              <w:pStyle w:val="ListBullet"/>
            </w:pPr>
            <w:r w:rsidRPr="00A168FC">
              <w:rPr>
                <w:b/>
                <w:bCs/>
              </w:rPr>
              <w:t>Formal Meeting with Student and Whānau:</w:t>
            </w:r>
            <w:r>
              <w:br/>
              <w:t>- Schedule a meeting involving the student, whānau, and key staff.</w:t>
            </w:r>
            <w:r>
              <w:br/>
              <w:t>- Discuss barriers to attendance and co-develop a re-engagement plan.</w:t>
            </w:r>
          </w:p>
          <w:p w14:paraId="1630E561" w14:textId="77777777" w:rsidR="00A168FC" w:rsidRDefault="00A168FC" w:rsidP="00A168FC">
            <w:pPr>
              <w:pStyle w:val="ListBullet"/>
            </w:pPr>
            <w:r w:rsidRPr="00A168FC">
              <w:rPr>
                <w:b/>
                <w:bCs/>
              </w:rPr>
              <w:t>Individual Attendance Improvement Plan (AIP):</w:t>
            </w:r>
            <w:r>
              <w:br/>
              <w:t>- Create a written plan with clear goals, timelines, and support strategies.</w:t>
            </w:r>
            <w:r>
              <w:br/>
              <w:t>- Include academic catch-up, wellbeing support, and attendance targets.</w:t>
            </w:r>
          </w:p>
          <w:p w14:paraId="6CDC7AAD" w14:textId="77777777" w:rsidR="00A168FC" w:rsidRDefault="00A168FC" w:rsidP="00A168FC">
            <w:pPr>
              <w:pStyle w:val="ListBullet"/>
            </w:pPr>
            <w:r w:rsidRPr="00A168FC">
              <w:rPr>
                <w:b/>
                <w:bCs/>
              </w:rPr>
              <w:t>Referral to Support Services:</w:t>
            </w:r>
            <w:r>
              <w:br/>
              <w:t>- Engage internal supports (e.g. SENCO, counsellors) and external agencies (e.g. RTLB, social workers, health services).</w:t>
            </w:r>
            <w:r>
              <w:br/>
              <w:t>- Ensure wraparound support is coordinated and culturally responsive.</w:t>
            </w:r>
          </w:p>
          <w:p w14:paraId="615B20C7" w14:textId="77777777" w:rsidR="00A168FC" w:rsidRDefault="00A168FC" w:rsidP="00A168FC">
            <w:pPr>
              <w:pStyle w:val="ListBullet"/>
            </w:pPr>
            <w:r w:rsidRPr="00A168FC">
              <w:rPr>
                <w:b/>
                <w:bCs/>
              </w:rPr>
              <w:t>Regular Monitoring and Follow-Up:</w:t>
            </w:r>
            <w:r>
              <w:br/>
              <w:t>- Weekly check-ins with the student to review progress and adjust support.</w:t>
            </w:r>
            <w:r>
              <w:br/>
              <w:t>- Maintain ongoing communication with whānau.</w:t>
            </w:r>
          </w:p>
          <w:p w14:paraId="00055BB9" w14:textId="7978E8F3" w:rsidR="00A168FC" w:rsidRDefault="00A168FC" w:rsidP="00A168FC">
            <w:pPr>
              <w:pStyle w:val="ListBullet"/>
            </w:pPr>
            <w:r w:rsidRPr="00A168FC">
              <w:rPr>
                <w:b/>
                <w:bCs/>
              </w:rPr>
              <w:t>Escalation if Necessary:</w:t>
            </w:r>
            <w:r>
              <w:br/>
              <w:t>- If attendance does not improve, follow school procedures for escalation.</w:t>
            </w:r>
            <w:r>
              <w:br/>
              <w:t xml:space="preserve">- This may include formal letters, involvement </w:t>
            </w:r>
            <w:r w:rsidR="007E2AE8">
              <w:t>of Attendance</w:t>
            </w:r>
            <w:r>
              <w:t xml:space="preserve"> Service, or further agency referrals.</w:t>
            </w:r>
          </w:p>
          <w:p w14:paraId="1E35DB66" w14:textId="6A1326C6" w:rsidR="007A54A0" w:rsidRPr="002A5895" w:rsidRDefault="007A54A0" w:rsidP="00A168FC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5129" w:type="dxa"/>
          </w:tcPr>
          <w:p w14:paraId="471B2468" w14:textId="77777777" w:rsidR="004A3B96" w:rsidRDefault="004A3B96" w:rsidP="004A3B96">
            <w:pPr>
              <w:pStyle w:val="ListBullet"/>
            </w:pPr>
            <w:r w:rsidRPr="004A3B96">
              <w:rPr>
                <w:b/>
                <w:bCs/>
              </w:rPr>
              <w:t>Classroom Teachers:</w:t>
            </w:r>
            <w:r>
              <w:br/>
              <w:t>- Provide learning support and maintain a positive classroom environment.</w:t>
            </w:r>
            <w:r>
              <w:br/>
              <w:t>- Contribute to the development and monitoring of the AIP.</w:t>
            </w:r>
          </w:p>
          <w:p w14:paraId="77508E08" w14:textId="77777777" w:rsidR="004A3B96" w:rsidRDefault="004A3B96" w:rsidP="004A3B96">
            <w:pPr>
              <w:pStyle w:val="ListBullet"/>
            </w:pPr>
            <w:r w:rsidRPr="004A3B96">
              <w:rPr>
                <w:b/>
                <w:bCs/>
              </w:rPr>
              <w:t>Pastoral Care / SENCO / Guidance Counsellors:</w:t>
            </w:r>
            <w:r>
              <w:br/>
              <w:t>- Lead meetings and coordinate support plans.</w:t>
            </w:r>
            <w:r>
              <w:br/>
              <w:t>- Liaise with external agencies and monitor wellbeing.</w:t>
            </w:r>
          </w:p>
          <w:p w14:paraId="6865CA75" w14:textId="77777777" w:rsidR="004A3B96" w:rsidRDefault="004A3B96" w:rsidP="004A3B96">
            <w:pPr>
              <w:pStyle w:val="ListBullet"/>
            </w:pPr>
            <w:r w:rsidRPr="004A3B96">
              <w:rPr>
                <w:b/>
                <w:bCs/>
              </w:rPr>
              <w:t>Attendance Officer / Admin Staff:</w:t>
            </w:r>
            <w:r>
              <w:br/>
              <w:t>- Track attendance data and document interventions.</w:t>
            </w:r>
            <w:r>
              <w:br/>
              <w:t>- Ensure accurate reporting to the Ministry and Attendance Service.</w:t>
            </w:r>
          </w:p>
          <w:p w14:paraId="2414C698" w14:textId="77777777" w:rsidR="004A3B96" w:rsidRDefault="004A3B96" w:rsidP="004A3B96">
            <w:pPr>
              <w:pStyle w:val="ListBullet"/>
            </w:pPr>
            <w:r w:rsidRPr="004A3B96">
              <w:rPr>
                <w:b/>
                <w:bCs/>
              </w:rPr>
              <w:t>Senior Leadership Team:</w:t>
            </w:r>
            <w:r>
              <w:br/>
              <w:t>- Oversee implementation and ensure accountability.</w:t>
            </w:r>
            <w:r>
              <w:br/>
              <w:t>- Approve referrals and manage escalations.</w:t>
            </w:r>
          </w:p>
          <w:p w14:paraId="4C1371C3" w14:textId="618D615B" w:rsidR="004A3B96" w:rsidRDefault="00191658" w:rsidP="004A3B96">
            <w:pPr>
              <w:pStyle w:val="ListBullet"/>
            </w:pPr>
            <w:r>
              <w:rPr>
                <w:b/>
                <w:bCs/>
              </w:rPr>
              <w:t xml:space="preserve"> </w:t>
            </w:r>
            <w:r w:rsidR="004A3B96" w:rsidRPr="004A3B96">
              <w:rPr>
                <w:b/>
                <w:bCs/>
              </w:rPr>
              <w:t>Whānau / Caregivers:</w:t>
            </w:r>
            <w:r w:rsidR="004A3B96">
              <w:br/>
              <w:t>- Actively participate in meetings and support attendance goals.</w:t>
            </w:r>
            <w:r w:rsidR="004A3B96">
              <w:br/>
              <w:t>- Communicate openly about challenges and progress.</w:t>
            </w:r>
          </w:p>
          <w:p w14:paraId="1F617732" w14:textId="77777777" w:rsidR="007A54A0" w:rsidRDefault="007A54A0" w:rsidP="004A3B9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30" w:type="dxa"/>
          </w:tcPr>
          <w:p w14:paraId="1C2DB50B" w14:textId="77777777" w:rsidR="00530B6E" w:rsidRDefault="00530B6E" w:rsidP="00530B6E">
            <w:pPr>
              <w:pStyle w:val="ListBullet"/>
            </w:pPr>
            <w:r w:rsidRPr="00530B6E">
              <w:rPr>
                <w:b/>
                <w:bCs/>
              </w:rPr>
              <w:t>Structured Support:</w:t>
            </w:r>
            <w:r>
              <w:br/>
              <w:t>- Students have a clear plan and know who is supporting them.</w:t>
            </w:r>
            <w:r>
              <w:br/>
              <w:t>- Staff work collaboratively to address barriers and monitor progress.</w:t>
            </w:r>
          </w:p>
          <w:p w14:paraId="20872125" w14:textId="6A404345" w:rsidR="00530B6E" w:rsidRDefault="00530B6E" w:rsidP="00530B6E">
            <w:pPr>
              <w:pStyle w:val="ListBullet"/>
            </w:pPr>
            <w:r w:rsidRPr="00530B6E">
              <w:rPr>
                <w:b/>
                <w:bCs/>
              </w:rPr>
              <w:t>Improved Attendance and Engagement:</w:t>
            </w:r>
            <w:r>
              <w:br/>
              <w:t>- Students begin to re-engage with school and attend more consistently.</w:t>
            </w:r>
            <w:r>
              <w:br/>
              <w:t xml:space="preserve">- Academic and social outcomes improve as attendance </w:t>
            </w:r>
            <w:proofErr w:type="spellStart"/>
            <w:r>
              <w:t>stabilises</w:t>
            </w:r>
            <w:proofErr w:type="spellEnd"/>
            <w:r>
              <w:t>.</w:t>
            </w:r>
          </w:p>
          <w:p w14:paraId="7B0F3A1E" w14:textId="77777777" w:rsidR="00530B6E" w:rsidRDefault="00530B6E" w:rsidP="00530B6E">
            <w:pPr>
              <w:pStyle w:val="ListBullet"/>
            </w:pPr>
            <w:r w:rsidRPr="00530B6E">
              <w:rPr>
                <w:b/>
                <w:bCs/>
              </w:rPr>
              <w:t>Stronger Whānau Partnerships:</w:t>
            </w:r>
            <w:r>
              <w:br/>
              <w:t>- Whānau feel heard and supported, leading to better collaboration.</w:t>
            </w:r>
            <w:r>
              <w:br/>
              <w:t>- Trust and communication between home and school are strengthened.</w:t>
            </w:r>
          </w:p>
          <w:p w14:paraId="12357B26" w14:textId="77777777" w:rsidR="00530B6E" w:rsidRDefault="00530B6E" w:rsidP="00530B6E">
            <w:pPr>
              <w:pStyle w:val="ListBullet"/>
            </w:pPr>
            <w:r w:rsidRPr="00530B6E">
              <w:rPr>
                <w:b/>
                <w:bCs/>
              </w:rPr>
              <w:t>Accountability and Escalation Pathways:</w:t>
            </w:r>
            <w:r>
              <w:br/>
              <w:t>- Clear documentation and procedures ensure accountability.</w:t>
            </w:r>
            <w:r>
              <w:br/>
              <w:t>- Escalation is used appropriately when support efforts are exhausted.</w:t>
            </w:r>
          </w:p>
          <w:p w14:paraId="799E51D7" w14:textId="709A8B87" w:rsidR="007A54A0" w:rsidRDefault="007A54A0" w:rsidP="00A168FC">
            <w:pPr>
              <w:pStyle w:val="ListBullet"/>
              <w:numPr>
                <w:ilvl w:val="0"/>
                <w:numId w:val="0"/>
              </w:numPr>
            </w:pPr>
          </w:p>
          <w:p w14:paraId="49B6B0FF" w14:textId="77777777" w:rsidR="007A54A0" w:rsidRDefault="007A54A0" w:rsidP="00530B6E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530B6E" w14:paraId="2E5BDF98" w14:textId="77777777" w:rsidTr="00227AE0">
        <w:tc>
          <w:tcPr>
            <w:tcW w:w="15501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516BC470" w14:textId="732CBD4B" w:rsidR="00530B6E" w:rsidRDefault="00227AE0" w:rsidP="002F49E5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For students with 15 days or more absence in a school term  -  </w:t>
            </w:r>
            <w:r w:rsidRPr="00227AE0">
              <w:rPr>
                <w:b/>
                <w:bCs/>
                <w:sz w:val="28"/>
                <w:szCs w:val="28"/>
              </w:rPr>
              <w:t>SERIOUS CONCERN</w:t>
            </w:r>
          </w:p>
        </w:tc>
      </w:tr>
      <w:tr w:rsidR="00530B6E" w:rsidRPr="0098778A" w14:paraId="4B048F90" w14:textId="77777777" w:rsidTr="00227AE0">
        <w:tc>
          <w:tcPr>
            <w:tcW w:w="5242" w:type="dxa"/>
            <w:gridSpan w:val="2"/>
            <w:tcBorders>
              <w:bottom w:val="single" w:sz="4" w:space="0" w:color="auto"/>
            </w:tcBorders>
            <w:shd w:val="clear" w:color="auto" w:fill="F99D9D"/>
          </w:tcPr>
          <w:p w14:paraId="159D9B12" w14:textId="77777777" w:rsidR="00530B6E" w:rsidRPr="0098778A" w:rsidRDefault="00530B6E" w:rsidP="002F49E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Actions</w:t>
            </w:r>
          </w:p>
        </w:tc>
        <w:tc>
          <w:tcPr>
            <w:tcW w:w="5129" w:type="dxa"/>
            <w:tcBorders>
              <w:bottom w:val="single" w:sz="4" w:space="0" w:color="auto"/>
            </w:tcBorders>
            <w:shd w:val="clear" w:color="auto" w:fill="F99D9D"/>
          </w:tcPr>
          <w:p w14:paraId="5A52B4A4" w14:textId="6F81331E" w:rsidR="00530B6E" w:rsidRPr="0098778A" w:rsidRDefault="00530B6E" w:rsidP="002F49E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Who is </w:t>
            </w:r>
            <w:r w:rsidR="006816A8">
              <w:rPr>
                <w:color w:val="000000" w:themeColor="text1"/>
                <w:sz w:val="28"/>
                <w:szCs w:val="28"/>
              </w:rPr>
              <w:t>R</w:t>
            </w:r>
            <w:r>
              <w:rPr>
                <w:color w:val="000000" w:themeColor="text1"/>
                <w:sz w:val="28"/>
                <w:szCs w:val="28"/>
              </w:rPr>
              <w:t>esponsible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99D9D"/>
          </w:tcPr>
          <w:p w14:paraId="31E8CCC6" w14:textId="77777777" w:rsidR="00530B6E" w:rsidRPr="0098778A" w:rsidRDefault="00530B6E" w:rsidP="002F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Outcome</w:t>
            </w:r>
          </w:p>
        </w:tc>
      </w:tr>
      <w:tr w:rsidR="00530B6E" w14:paraId="78763D83" w14:textId="77777777" w:rsidTr="002F49E5">
        <w:tc>
          <w:tcPr>
            <w:tcW w:w="5242" w:type="dxa"/>
            <w:gridSpan w:val="2"/>
          </w:tcPr>
          <w:p w14:paraId="21C440C4" w14:textId="77777777" w:rsidR="009653FA" w:rsidRDefault="002C3898" w:rsidP="002C3898">
            <w:pPr>
              <w:pStyle w:val="ListBullet"/>
            </w:pPr>
            <w:r w:rsidRPr="002C3898">
              <w:rPr>
                <w:b/>
                <w:bCs/>
              </w:rPr>
              <w:t>Urgent Case Review:</w:t>
            </w:r>
            <w:r>
              <w:br/>
            </w:r>
            <w:r w:rsidR="000D6F42">
              <w:t xml:space="preserve">- </w:t>
            </w:r>
            <w:r>
              <w:t xml:space="preserve">Conduct a full review of the student’s attendance, wellbeing, academic progress, and previous interventions. </w:t>
            </w:r>
          </w:p>
          <w:p w14:paraId="50D660A6" w14:textId="6E46E6D8" w:rsidR="002C3898" w:rsidRDefault="00736DEB" w:rsidP="00736DEB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- </w:t>
            </w:r>
            <w:r w:rsidR="002C3898">
              <w:t>Identify chronic patterns and contributing factors (e.g. mental health, family crisis, disengagement).</w:t>
            </w:r>
          </w:p>
          <w:p w14:paraId="4B46AA07" w14:textId="6DF03A70" w:rsidR="002C3898" w:rsidRDefault="002C3898" w:rsidP="002C3898">
            <w:pPr>
              <w:pStyle w:val="ListBullet"/>
            </w:pPr>
            <w:r w:rsidRPr="002C3898">
              <w:rPr>
                <w:b/>
                <w:bCs/>
              </w:rPr>
              <w:t>Formal Intervention Meeting:</w:t>
            </w:r>
            <w:r>
              <w:br/>
            </w:r>
            <w:r w:rsidR="000D6F42">
              <w:t xml:space="preserve">- </w:t>
            </w:r>
            <w:r>
              <w:t xml:space="preserve">Convene a formal meeting with the student, whānau, senior leadership, and relevant support staff. Include external agencies such as Attendance Service, </w:t>
            </w:r>
            <w:proofErr w:type="spellStart"/>
            <w:r>
              <w:t>Oranga</w:t>
            </w:r>
            <w:proofErr w:type="spellEnd"/>
            <w:r>
              <w:t xml:space="preserve"> Tamariki, or health professionals if appropriate.</w:t>
            </w:r>
          </w:p>
          <w:p w14:paraId="70F5B3B2" w14:textId="4FDE9414" w:rsidR="002C3898" w:rsidRDefault="002C3898" w:rsidP="002C3898">
            <w:pPr>
              <w:pStyle w:val="ListBullet"/>
            </w:pPr>
            <w:r w:rsidRPr="002C3898">
              <w:rPr>
                <w:b/>
                <w:bCs/>
              </w:rPr>
              <w:t>Comprehensive Re-engagement Plan:</w:t>
            </w:r>
            <w:r>
              <w:br/>
            </w:r>
            <w:r w:rsidR="000D6F42">
              <w:t xml:space="preserve">- </w:t>
            </w:r>
            <w:r>
              <w:t>Develop a detailed plan with clear attendance goals, timelines, and wraparound support. Include flexible learning options (e.g. part-time attendance, online learning, alternative education pathways).</w:t>
            </w:r>
          </w:p>
          <w:p w14:paraId="1CFB95BF" w14:textId="40E93124" w:rsidR="002C3898" w:rsidRDefault="002C3898" w:rsidP="002C3898">
            <w:pPr>
              <w:pStyle w:val="ListBullet"/>
            </w:pPr>
            <w:r w:rsidRPr="002C3898">
              <w:rPr>
                <w:b/>
                <w:bCs/>
              </w:rPr>
              <w:t>Multi-Agency Collaboration:</w:t>
            </w:r>
            <w:r>
              <w:br/>
            </w:r>
            <w:r w:rsidR="000D6F42">
              <w:t xml:space="preserve">- </w:t>
            </w:r>
            <w:r>
              <w:t>Coordinate with external services to address complex needs (e.g. housing, mental health, family support). Ensure culturally responsive and trauma-informed approaches are used.</w:t>
            </w:r>
          </w:p>
          <w:p w14:paraId="241A05FA" w14:textId="1A4D5F0B" w:rsidR="000D6F42" w:rsidRDefault="002C3898" w:rsidP="000D6F42">
            <w:pPr>
              <w:pStyle w:val="ListBullet"/>
            </w:pPr>
            <w:r w:rsidRPr="002C3898">
              <w:rPr>
                <w:b/>
                <w:bCs/>
              </w:rPr>
              <w:t>Intensive Monitoring and Support:</w:t>
            </w:r>
            <w:r>
              <w:br/>
            </w:r>
            <w:r w:rsidR="000D6F42">
              <w:t xml:space="preserve">- </w:t>
            </w:r>
            <w:r>
              <w:t xml:space="preserve">Assign a key adult (e.g. mentor, counsellor) to check in with the student multiple times per week. </w:t>
            </w:r>
          </w:p>
          <w:p w14:paraId="7AAC9162" w14:textId="292CD031" w:rsidR="002C3898" w:rsidRDefault="00C219FE" w:rsidP="00C219FE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- </w:t>
            </w:r>
            <w:r w:rsidR="002C3898">
              <w:t>Track attendance daily and adjust support as needed.</w:t>
            </w:r>
          </w:p>
          <w:p w14:paraId="1576859A" w14:textId="77777777" w:rsidR="0012664A" w:rsidRDefault="002C3898" w:rsidP="002C3898">
            <w:pPr>
              <w:pStyle w:val="ListBullet"/>
            </w:pPr>
            <w:r w:rsidRPr="002C3898">
              <w:rPr>
                <w:b/>
                <w:bCs/>
              </w:rPr>
              <w:lastRenderedPageBreak/>
              <w:t>Escalation and Legal Compliance:</w:t>
            </w:r>
            <w:r>
              <w:br/>
            </w:r>
            <w:r w:rsidR="00C36680">
              <w:t xml:space="preserve">- </w:t>
            </w:r>
            <w:r>
              <w:t xml:space="preserve">If non-attendance persists, follow legal protocols including formal notifications and referrals to the Attendance Service. </w:t>
            </w:r>
          </w:p>
          <w:p w14:paraId="703A4D60" w14:textId="77777777" w:rsidR="00584402" w:rsidRDefault="0013480A" w:rsidP="0013480A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  <w:bCs/>
              </w:rPr>
              <w:t xml:space="preserve">      - </w:t>
            </w:r>
            <w:r w:rsidR="002C3898">
              <w:t xml:space="preserve">Document all actions and communications </w:t>
            </w:r>
            <w:r w:rsidR="00584402">
              <w:t xml:space="preserve">   </w:t>
            </w:r>
          </w:p>
          <w:p w14:paraId="1EDC1967" w14:textId="198990DC" w:rsidR="00530B6E" w:rsidRPr="002A5895" w:rsidRDefault="00584402" w:rsidP="0013480A">
            <w:pPr>
              <w:pStyle w:val="ListBullet"/>
              <w:numPr>
                <w:ilvl w:val="0"/>
                <w:numId w:val="0"/>
              </w:numPr>
            </w:pPr>
            <w:r>
              <w:t xml:space="preserve">         </w:t>
            </w:r>
            <w:r w:rsidR="002C3898">
              <w:t>thoroughly.</w:t>
            </w:r>
          </w:p>
        </w:tc>
        <w:tc>
          <w:tcPr>
            <w:tcW w:w="5129" w:type="dxa"/>
          </w:tcPr>
          <w:p w14:paraId="334A19FF" w14:textId="77777777" w:rsidR="00C219FE" w:rsidRDefault="00A50F66" w:rsidP="00A50F66">
            <w:pPr>
              <w:pStyle w:val="ListBullet"/>
            </w:pPr>
            <w:r w:rsidRPr="00A50F66">
              <w:rPr>
                <w:b/>
                <w:bCs/>
              </w:rPr>
              <w:lastRenderedPageBreak/>
              <w:t>Classroom Teachers:</w:t>
            </w:r>
            <w:r>
              <w:br/>
            </w:r>
            <w:r w:rsidR="00C219FE">
              <w:t xml:space="preserve">- </w:t>
            </w:r>
            <w:r>
              <w:t xml:space="preserve">Maintain a welcoming environment and provide differentiated support. </w:t>
            </w:r>
          </w:p>
          <w:p w14:paraId="49490808" w14:textId="0C49662D" w:rsidR="00A50F66" w:rsidRDefault="00191658" w:rsidP="00191658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rPr>
                <w:b/>
                <w:bCs/>
              </w:rPr>
              <w:t xml:space="preserve">- </w:t>
            </w:r>
            <w:r w:rsidR="00A50F66">
              <w:t>Communicate learning progress and needs to support staff.</w:t>
            </w:r>
          </w:p>
          <w:p w14:paraId="44048DD6" w14:textId="77777777" w:rsidR="00191658" w:rsidRDefault="00A50F66" w:rsidP="00A50F66">
            <w:pPr>
              <w:pStyle w:val="ListBullet"/>
            </w:pPr>
            <w:r w:rsidRPr="00A50F66">
              <w:rPr>
                <w:b/>
                <w:bCs/>
              </w:rPr>
              <w:t>Pastoral Team / SENCO / Guidance Counsellors:</w:t>
            </w:r>
            <w:r>
              <w:br/>
            </w:r>
            <w:r w:rsidR="00191658">
              <w:t xml:space="preserve">- </w:t>
            </w:r>
            <w:r>
              <w:t xml:space="preserve">Lead the development and implementation of the re-engagement plan. </w:t>
            </w:r>
          </w:p>
          <w:p w14:paraId="11C5F13A" w14:textId="6DAECEA3" w:rsidR="00A50F66" w:rsidRDefault="00702590" w:rsidP="00702590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rPr>
                <w:b/>
                <w:bCs/>
              </w:rPr>
              <w:t>-</w:t>
            </w:r>
            <w:r w:rsidR="00191658">
              <w:rPr>
                <w:b/>
                <w:bCs/>
              </w:rPr>
              <w:t xml:space="preserve"> </w:t>
            </w:r>
            <w:r w:rsidR="00A50F66">
              <w:t>Coordinate with external agencies and monitor wellbeing.</w:t>
            </w:r>
          </w:p>
          <w:p w14:paraId="36276B1E" w14:textId="77777777" w:rsidR="00702590" w:rsidRDefault="00A50F66" w:rsidP="00A50F66">
            <w:pPr>
              <w:pStyle w:val="ListBullet"/>
            </w:pPr>
            <w:r w:rsidRPr="00A50F66">
              <w:rPr>
                <w:b/>
                <w:bCs/>
              </w:rPr>
              <w:t>Attendance Officer / Admin Staff:</w:t>
            </w:r>
            <w:r>
              <w:br/>
            </w:r>
            <w:r w:rsidR="00702590">
              <w:t xml:space="preserve">- </w:t>
            </w:r>
            <w:r>
              <w:t>Maintain accurate records and ensure timely reporting to the Ministry and Attendance Service.</w:t>
            </w:r>
          </w:p>
          <w:p w14:paraId="71C3FB22" w14:textId="30A7B8C8" w:rsidR="00A50F66" w:rsidRDefault="00B335B4" w:rsidP="00B335B4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-</w:t>
            </w:r>
            <w:r w:rsidR="00A50F66">
              <w:t xml:space="preserve"> Support communication with whānau and agencies.</w:t>
            </w:r>
          </w:p>
          <w:p w14:paraId="11565341" w14:textId="77777777" w:rsidR="00B335B4" w:rsidRDefault="00A50F66" w:rsidP="00A50F66">
            <w:pPr>
              <w:pStyle w:val="ListBullet"/>
            </w:pPr>
            <w:r w:rsidRPr="00A50F66">
              <w:rPr>
                <w:b/>
                <w:bCs/>
              </w:rPr>
              <w:t>Senior Leadership Team:</w:t>
            </w:r>
            <w:r>
              <w:br/>
            </w:r>
            <w:r w:rsidR="00B335B4">
              <w:t xml:space="preserve">- </w:t>
            </w:r>
            <w:r>
              <w:t xml:space="preserve">Oversee the intervention process and ensure accountability. </w:t>
            </w:r>
          </w:p>
          <w:p w14:paraId="068648FB" w14:textId="7BF83E11" w:rsidR="00A50F66" w:rsidRDefault="00A969A1" w:rsidP="00A969A1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- </w:t>
            </w:r>
            <w:proofErr w:type="spellStart"/>
            <w:r w:rsidR="00A50F66">
              <w:t>Authori</w:t>
            </w:r>
            <w:r w:rsidR="00B335B4">
              <w:t>s</w:t>
            </w:r>
            <w:r w:rsidR="00A50F66">
              <w:t>e</w:t>
            </w:r>
            <w:proofErr w:type="spellEnd"/>
            <w:r w:rsidR="00A50F66">
              <w:t xml:space="preserve"> flexible learning arrangements and manage legal compliance.</w:t>
            </w:r>
          </w:p>
          <w:p w14:paraId="5B1820F4" w14:textId="77777777" w:rsidR="00A969A1" w:rsidRDefault="00A50F66" w:rsidP="00A50F66">
            <w:pPr>
              <w:pStyle w:val="ListBullet"/>
            </w:pPr>
            <w:r w:rsidRPr="00A50F66">
              <w:rPr>
                <w:b/>
                <w:bCs/>
              </w:rPr>
              <w:t>Whānau / Caregivers:</w:t>
            </w:r>
            <w:r>
              <w:br/>
            </w:r>
            <w:r w:rsidR="00A969A1">
              <w:t xml:space="preserve">- </w:t>
            </w:r>
            <w:r>
              <w:t xml:space="preserve">Engage actively in meetings and support the re-engagement plan. </w:t>
            </w:r>
          </w:p>
          <w:p w14:paraId="68AA81F3" w14:textId="37007073" w:rsidR="00A50F66" w:rsidRDefault="00424070" w:rsidP="00424070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rPr>
                <w:b/>
                <w:bCs/>
              </w:rPr>
              <w:t xml:space="preserve">- </w:t>
            </w:r>
            <w:r w:rsidR="00A50F66">
              <w:t>Communicate openly about barriers and progress.</w:t>
            </w:r>
          </w:p>
          <w:p w14:paraId="7BE50AD6" w14:textId="340E4B2C" w:rsidR="00424070" w:rsidRDefault="00A50F66" w:rsidP="00A50F66">
            <w:pPr>
              <w:pStyle w:val="ListBullet"/>
            </w:pPr>
            <w:r w:rsidRPr="00A50F66">
              <w:rPr>
                <w:b/>
                <w:bCs/>
              </w:rPr>
              <w:t>External Agencies:</w:t>
            </w:r>
            <w:r>
              <w:br/>
            </w:r>
            <w:r w:rsidR="0012664A">
              <w:t xml:space="preserve"> -</w:t>
            </w:r>
            <w:r w:rsidR="007E2AE8">
              <w:t xml:space="preserve"> </w:t>
            </w:r>
            <w:r>
              <w:t xml:space="preserve">Provide specialist support and resources tailored to the student’s needs. </w:t>
            </w:r>
          </w:p>
          <w:p w14:paraId="70482D07" w14:textId="6E326E12" w:rsidR="00A50F66" w:rsidRDefault="0012664A" w:rsidP="0012664A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rPr>
                <w:b/>
                <w:bCs/>
              </w:rPr>
              <w:lastRenderedPageBreak/>
              <w:t xml:space="preserve">- </w:t>
            </w:r>
            <w:r w:rsidR="00A50F66">
              <w:t>Collaborate with the school to ensure continuity of care.</w:t>
            </w:r>
          </w:p>
          <w:p w14:paraId="04A66800" w14:textId="77777777" w:rsidR="00530B6E" w:rsidRDefault="00530B6E" w:rsidP="00227AE0">
            <w:pPr>
              <w:pStyle w:val="ListBullet"/>
              <w:numPr>
                <w:ilvl w:val="0"/>
                <w:numId w:val="0"/>
              </w:num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30" w:type="dxa"/>
          </w:tcPr>
          <w:p w14:paraId="61695CC7" w14:textId="77777777" w:rsidR="00584402" w:rsidRDefault="000D6F42" w:rsidP="000D6F42">
            <w:pPr>
              <w:pStyle w:val="ListBullet"/>
            </w:pPr>
            <w:r w:rsidRPr="000D6F42">
              <w:rPr>
                <w:b/>
                <w:bCs/>
              </w:rPr>
              <w:lastRenderedPageBreak/>
              <w:t xml:space="preserve">Intensive, </w:t>
            </w:r>
            <w:proofErr w:type="spellStart"/>
            <w:r w:rsidRPr="000D6F42">
              <w:rPr>
                <w:b/>
                <w:bCs/>
              </w:rPr>
              <w:t>Individualised</w:t>
            </w:r>
            <w:proofErr w:type="spellEnd"/>
            <w:r w:rsidRPr="000D6F42">
              <w:rPr>
                <w:b/>
                <w:bCs/>
              </w:rPr>
              <w:t xml:space="preserve"> Support:</w:t>
            </w:r>
            <w:r>
              <w:br/>
            </w:r>
            <w:r w:rsidR="00584402">
              <w:t xml:space="preserve">- </w:t>
            </w:r>
            <w:r>
              <w:t xml:space="preserve">Students receive tailored interventions that address both academic and personal challenges. </w:t>
            </w:r>
          </w:p>
          <w:p w14:paraId="4FADD9FB" w14:textId="0B8A86AB" w:rsidR="000D6F42" w:rsidRDefault="00593F0A" w:rsidP="00593F0A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rPr>
                <w:b/>
                <w:bCs/>
              </w:rPr>
              <w:t>-</w:t>
            </w:r>
            <w:r w:rsidR="00584402">
              <w:rPr>
                <w:b/>
                <w:bCs/>
              </w:rPr>
              <w:t xml:space="preserve"> </w:t>
            </w:r>
            <w:r w:rsidR="000D6F42">
              <w:t>Staff and agencies work together to provide holistic care.</w:t>
            </w:r>
          </w:p>
          <w:p w14:paraId="5B9043A1" w14:textId="780D3100" w:rsidR="000D6F42" w:rsidRDefault="000D6F42" w:rsidP="000D6F42">
            <w:pPr>
              <w:pStyle w:val="ListBullet"/>
            </w:pPr>
            <w:r w:rsidRPr="000D6F42">
              <w:rPr>
                <w:b/>
                <w:bCs/>
              </w:rPr>
              <w:t>Flexible Learning Pathways:</w:t>
            </w:r>
            <w:r>
              <w:br/>
            </w:r>
            <w:r w:rsidR="00593F0A">
              <w:t xml:space="preserve">- </w:t>
            </w:r>
            <w:r>
              <w:t>Students may access alternative education, part-time attendance, or online learning to support re-engagement. Plans are responsive to student needs and circumstances.</w:t>
            </w:r>
          </w:p>
          <w:p w14:paraId="56BECDA0" w14:textId="77777777" w:rsidR="00593F0A" w:rsidRDefault="000D6F42" w:rsidP="000D6F42">
            <w:pPr>
              <w:pStyle w:val="ListBullet"/>
            </w:pPr>
            <w:r w:rsidRPr="000D6F42">
              <w:rPr>
                <w:b/>
                <w:bCs/>
              </w:rPr>
              <w:t>Improved Attendance and Wellbeing:</w:t>
            </w:r>
            <w:r>
              <w:br/>
            </w:r>
            <w:r w:rsidR="00593F0A">
              <w:t xml:space="preserve">- </w:t>
            </w:r>
            <w:r>
              <w:t>With consistent support, students begin to attend more regularly and feel safer at school.</w:t>
            </w:r>
          </w:p>
          <w:p w14:paraId="487F6256" w14:textId="70DB2119" w:rsidR="000D6F42" w:rsidRDefault="009653FA" w:rsidP="009653FA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rPr>
                <w:b/>
                <w:bCs/>
              </w:rPr>
              <w:t>-</w:t>
            </w:r>
            <w:r w:rsidR="00593F0A">
              <w:rPr>
                <w:b/>
                <w:bCs/>
              </w:rPr>
              <w:t xml:space="preserve"> </w:t>
            </w:r>
            <w:r w:rsidR="000D6F42">
              <w:t>Wellbeing improves as barriers are addressed.</w:t>
            </w:r>
          </w:p>
          <w:p w14:paraId="59EC57D4" w14:textId="71AC37E2" w:rsidR="000D6F42" w:rsidRDefault="000D6F42" w:rsidP="000D6F42">
            <w:pPr>
              <w:pStyle w:val="ListBullet"/>
            </w:pPr>
            <w:r w:rsidRPr="000D6F42">
              <w:rPr>
                <w:b/>
                <w:bCs/>
              </w:rPr>
              <w:t>Clear Documentation and Accountability:</w:t>
            </w:r>
            <w:r>
              <w:br/>
            </w:r>
            <w:r w:rsidR="009653FA">
              <w:t>-</w:t>
            </w:r>
            <w:r w:rsidR="000E1082">
              <w:t xml:space="preserve"> </w:t>
            </w:r>
            <w:r>
              <w:t>All actions are recorded to ensure transparency and legal compliance. The school can demonstrate proactive efforts to support the student.</w:t>
            </w:r>
          </w:p>
          <w:p w14:paraId="6BA372C1" w14:textId="77777777" w:rsidR="00530B6E" w:rsidRDefault="00530B6E" w:rsidP="002F49E5">
            <w:pPr>
              <w:pStyle w:val="ListBullet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</w:tbl>
    <w:p w14:paraId="10DEA0C0" w14:textId="77777777" w:rsidR="00FC07FE" w:rsidRPr="00FC07FE" w:rsidRDefault="00FC07FE" w:rsidP="00FC07FE">
      <w:pPr>
        <w:rPr>
          <w:b/>
          <w:bCs/>
        </w:rPr>
      </w:pPr>
    </w:p>
    <w:p w14:paraId="2C80303F" w14:textId="77777777" w:rsidR="00FC07FE" w:rsidRPr="00FC07FE" w:rsidRDefault="00FC07FE" w:rsidP="00FC07FE">
      <w:pPr>
        <w:rPr>
          <w:b/>
          <w:bCs/>
          <w:color w:val="0070C0"/>
          <w:sz w:val="28"/>
          <w:szCs w:val="28"/>
        </w:rPr>
      </w:pPr>
    </w:p>
    <w:p w14:paraId="46A2200A" w14:textId="77777777" w:rsidR="006B4ECC" w:rsidRDefault="006B4ECC" w:rsidP="006B4ECC">
      <w:pPr>
        <w:pStyle w:val="ListBullet"/>
        <w:numPr>
          <w:ilvl w:val="0"/>
          <w:numId w:val="0"/>
        </w:numPr>
        <w:spacing w:after="120"/>
      </w:pPr>
    </w:p>
    <w:p w14:paraId="28C719D2" w14:textId="77777777" w:rsidR="001B1AC2" w:rsidRDefault="001B1AC2" w:rsidP="001B1AC2">
      <w:pPr>
        <w:pStyle w:val="ListBullet"/>
        <w:numPr>
          <w:ilvl w:val="0"/>
          <w:numId w:val="0"/>
        </w:numPr>
        <w:spacing w:after="120"/>
        <w:ind w:left="360" w:hanging="360"/>
      </w:pPr>
    </w:p>
    <w:p w14:paraId="35562339" w14:textId="77777777" w:rsidR="001B1AC2" w:rsidRDefault="001B1AC2" w:rsidP="001B1AC2">
      <w:pPr>
        <w:pStyle w:val="ListBullet"/>
        <w:numPr>
          <w:ilvl w:val="0"/>
          <w:numId w:val="0"/>
        </w:numPr>
        <w:spacing w:after="120"/>
        <w:ind w:left="360" w:hanging="360"/>
      </w:pPr>
    </w:p>
    <w:p w14:paraId="25556202" w14:textId="6976ADE7" w:rsidR="00B750F0" w:rsidRPr="00B750F0" w:rsidRDefault="00B750F0" w:rsidP="00B750F0">
      <w:pPr>
        <w:spacing w:line="276" w:lineRule="auto"/>
        <w:rPr>
          <w:color w:val="000000" w:themeColor="text1"/>
        </w:rPr>
      </w:pPr>
    </w:p>
    <w:p w14:paraId="361BC6BE" w14:textId="77777777" w:rsidR="006D79E3" w:rsidRPr="006D79E3" w:rsidRDefault="006D79E3" w:rsidP="00F86BA3">
      <w:pPr>
        <w:rPr>
          <w:color w:val="0070C0"/>
          <w:sz w:val="28"/>
          <w:szCs w:val="28"/>
        </w:rPr>
      </w:pPr>
    </w:p>
    <w:p w14:paraId="4326524E" w14:textId="2EA5F796" w:rsidR="00D25617" w:rsidRPr="00D25617" w:rsidRDefault="00D25617" w:rsidP="00D25617">
      <w:pPr>
        <w:jc w:val="center"/>
        <w:rPr>
          <w:sz w:val="20"/>
          <w:szCs w:val="20"/>
        </w:rPr>
      </w:pPr>
    </w:p>
    <w:sectPr w:rsidR="00D25617" w:rsidRPr="00D25617" w:rsidSect="00540F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9EFA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2F225B"/>
    <w:multiLevelType w:val="hybridMultilevel"/>
    <w:tmpl w:val="6136F3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A7508"/>
    <w:multiLevelType w:val="hybridMultilevel"/>
    <w:tmpl w:val="9050BE32"/>
    <w:lvl w:ilvl="0" w:tplc="22D4677C">
      <w:start w:val="202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42C24"/>
    <w:multiLevelType w:val="hybridMultilevel"/>
    <w:tmpl w:val="187EDF74"/>
    <w:lvl w:ilvl="0" w:tplc="68A28704">
      <w:start w:val="202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714FB"/>
    <w:multiLevelType w:val="hybridMultilevel"/>
    <w:tmpl w:val="320A36E0"/>
    <w:lvl w:ilvl="0" w:tplc="1D186D9A">
      <w:start w:val="202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FF0"/>
    <w:multiLevelType w:val="hybridMultilevel"/>
    <w:tmpl w:val="2E001106"/>
    <w:lvl w:ilvl="0" w:tplc="D0B8A92A">
      <w:start w:val="202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65FBC"/>
    <w:multiLevelType w:val="hybridMultilevel"/>
    <w:tmpl w:val="FF9EF2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40AEB"/>
    <w:multiLevelType w:val="hybridMultilevel"/>
    <w:tmpl w:val="F98890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B8130F"/>
    <w:multiLevelType w:val="hybridMultilevel"/>
    <w:tmpl w:val="15D86992"/>
    <w:lvl w:ilvl="0" w:tplc="5CCC922C">
      <w:start w:val="202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2BD6"/>
    <w:multiLevelType w:val="hybridMultilevel"/>
    <w:tmpl w:val="924CDAAC"/>
    <w:lvl w:ilvl="0" w:tplc="3A260D10">
      <w:start w:val="202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A4CED"/>
    <w:multiLevelType w:val="hybridMultilevel"/>
    <w:tmpl w:val="DF486B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70D89"/>
    <w:multiLevelType w:val="hybridMultilevel"/>
    <w:tmpl w:val="E44A8C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214088">
    <w:abstractNumId w:val="7"/>
  </w:num>
  <w:num w:numId="2" w16cid:durableId="590236836">
    <w:abstractNumId w:val="0"/>
  </w:num>
  <w:num w:numId="3" w16cid:durableId="1288118462">
    <w:abstractNumId w:val="7"/>
  </w:num>
  <w:num w:numId="4" w16cid:durableId="1506744242">
    <w:abstractNumId w:val="6"/>
  </w:num>
  <w:num w:numId="5" w16cid:durableId="1462459013">
    <w:abstractNumId w:val="10"/>
  </w:num>
  <w:num w:numId="6" w16cid:durableId="1574125811">
    <w:abstractNumId w:val="11"/>
  </w:num>
  <w:num w:numId="7" w16cid:durableId="561213881">
    <w:abstractNumId w:val="1"/>
  </w:num>
  <w:num w:numId="8" w16cid:durableId="142695888">
    <w:abstractNumId w:val="8"/>
  </w:num>
  <w:num w:numId="9" w16cid:durableId="291598784">
    <w:abstractNumId w:val="2"/>
  </w:num>
  <w:num w:numId="10" w16cid:durableId="774517542">
    <w:abstractNumId w:val="5"/>
  </w:num>
  <w:num w:numId="11" w16cid:durableId="200754634">
    <w:abstractNumId w:val="4"/>
  </w:num>
  <w:num w:numId="12" w16cid:durableId="1716731217">
    <w:abstractNumId w:val="9"/>
  </w:num>
  <w:num w:numId="13" w16cid:durableId="1402170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51"/>
    <w:rsid w:val="00013E2D"/>
    <w:rsid w:val="00041626"/>
    <w:rsid w:val="00043228"/>
    <w:rsid w:val="00060405"/>
    <w:rsid w:val="000630B4"/>
    <w:rsid w:val="000B7F15"/>
    <w:rsid w:val="000D6F42"/>
    <w:rsid w:val="000E1082"/>
    <w:rsid w:val="000E56BD"/>
    <w:rsid w:val="000F2D94"/>
    <w:rsid w:val="00113361"/>
    <w:rsid w:val="0012664A"/>
    <w:rsid w:val="0013480A"/>
    <w:rsid w:val="00146B73"/>
    <w:rsid w:val="00160D07"/>
    <w:rsid w:val="0017355D"/>
    <w:rsid w:val="00191658"/>
    <w:rsid w:val="00194F44"/>
    <w:rsid w:val="001A68F9"/>
    <w:rsid w:val="001B1AC2"/>
    <w:rsid w:val="001B294A"/>
    <w:rsid w:val="001E5434"/>
    <w:rsid w:val="001F0BED"/>
    <w:rsid w:val="002027EB"/>
    <w:rsid w:val="002037A2"/>
    <w:rsid w:val="002152E3"/>
    <w:rsid w:val="00227AE0"/>
    <w:rsid w:val="00293A20"/>
    <w:rsid w:val="00295243"/>
    <w:rsid w:val="0029607B"/>
    <w:rsid w:val="002A5895"/>
    <w:rsid w:val="002B058F"/>
    <w:rsid w:val="002C0F2D"/>
    <w:rsid w:val="002C2297"/>
    <w:rsid w:val="002C3898"/>
    <w:rsid w:val="002D36B7"/>
    <w:rsid w:val="002D769F"/>
    <w:rsid w:val="002E1291"/>
    <w:rsid w:val="002F0AE2"/>
    <w:rsid w:val="00306794"/>
    <w:rsid w:val="00361835"/>
    <w:rsid w:val="003672E1"/>
    <w:rsid w:val="003C10D2"/>
    <w:rsid w:val="003E75C6"/>
    <w:rsid w:val="003F0FBC"/>
    <w:rsid w:val="003F5930"/>
    <w:rsid w:val="00423DDF"/>
    <w:rsid w:val="00424070"/>
    <w:rsid w:val="004367E3"/>
    <w:rsid w:val="004503DB"/>
    <w:rsid w:val="004A3B96"/>
    <w:rsid w:val="004A78FC"/>
    <w:rsid w:val="004E0B87"/>
    <w:rsid w:val="00530B6E"/>
    <w:rsid w:val="00540F51"/>
    <w:rsid w:val="0055640D"/>
    <w:rsid w:val="00574263"/>
    <w:rsid w:val="00584402"/>
    <w:rsid w:val="00593F0A"/>
    <w:rsid w:val="005B2CA6"/>
    <w:rsid w:val="005B791D"/>
    <w:rsid w:val="005C310D"/>
    <w:rsid w:val="005F31D8"/>
    <w:rsid w:val="006343CA"/>
    <w:rsid w:val="006816A8"/>
    <w:rsid w:val="006B4ECC"/>
    <w:rsid w:val="006D79E3"/>
    <w:rsid w:val="00702590"/>
    <w:rsid w:val="00702E75"/>
    <w:rsid w:val="007159FA"/>
    <w:rsid w:val="0073430B"/>
    <w:rsid w:val="00736DEB"/>
    <w:rsid w:val="0074793E"/>
    <w:rsid w:val="0077218E"/>
    <w:rsid w:val="007850AB"/>
    <w:rsid w:val="0078589F"/>
    <w:rsid w:val="007A54A0"/>
    <w:rsid w:val="007E2AE8"/>
    <w:rsid w:val="00814B07"/>
    <w:rsid w:val="008370AF"/>
    <w:rsid w:val="00843BF1"/>
    <w:rsid w:val="00862B21"/>
    <w:rsid w:val="00890606"/>
    <w:rsid w:val="008A2B23"/>
    <w:rsid w:val="008A5059"/>
    <w:rsid w:val="008A72EA"/>
    <w:rsid w:val="008B4D1A"/>
    <w:rsid w:val="008C4029"/>
    <w:rsid w:val="008C51B2"/>
    <w:rsid w:val="008E217B"/>
    <w:rsid w:val="00923757"/>
    <w:rsid w:val="009367FB"/>
    <w:rsid w:val="009653FA"/>
    <w:rsid w:val="0098778A"/>
    <w:rsid w:val="00994D4B"/>
    <w:rsid w:val="009B68B7"/>
    <w:rsid w:val="00A023FB"/>
    <w:rsid w:val="00A168FC"/>
    <w:rsid w:val="00A50F66"/>
    <w:rsid w:val="00A87C71"/>
    <w:rsid w:val="00A969A1"/>
    <w:rsid w:val="00AB1463"/>
    <w:rsid w:val="00AC07D0"/>
    <w:rsid w:val="00AC344A"/>
    <w:rsid w:val="00AD383C"/>
    <w:rsid w:val="00B0361E"/>
    <w:rsid w:val="00B31151"/>
    <w:rsid w:val="00B335B4"/>
    <w:rsid w:val="00B750F0"/>
    <w:rsid w:val="00BB754D"/>
    <w:rsid w:val="00BC556A"/>
    <w:rsid w:val="00BE2282"/>
    <w:rsid w:val="00C01DD9"/>
    <w:rsid w:val="00C20D0F"/>
    <w:rsid w:val="00C219FE"/>
    <w:rsid w:val="00C314AA"/>
    <w:rsid w:val="00C36680"/>
    <w:rsid w:val="00C6314C"/>
    <w:rsid w:val="00CC70DC"/>
    <w:rsid w:val="00CF5595"/>
    <w:rsid w:val="00CF7463"/>
    <w:rsid w:val="00D237A4"/>
    <w:rsid w:val="00D25617"/>
    <w:rsid w:val="00D95AE4"/>
    <w:rsid w:val="00DC62A3"/>
    <w:rsid w:val="00DD69D7"/>
    <w:rsid w:val="00E13F4E"/>
    <w:rsid w:val="00E25E73"/>
    <w:rsid w:val="00E620DB"/>
    <w:rsid w:val="00E758A8"/>
    <w:rsid w:val="00E86CCD"/>
    <w:rsid w:val="00EB0862"/>
    <w:rsid w:val="00EC1865"/>
    <w:rsid w:val="00ED1795"/>
    <w:rsid w:val="00F5313F"/>
    <w:rsid w:val="00F86BA3"/>
    <w:rsid w:val="00F93E6B"/>
    <w:rsid w:val="00FC07FE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3DBC"/>
  <w15:chartTrackingRefBased/>
  <w15:docId w15:val="{30DCFB70-5424-4D52-AE59-A62E115F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40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F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F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F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F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F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F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F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F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F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F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F51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2D36B7"/>
    <w:pPr>
      <w:numPr>
        <w:numId w:val="2"/>
      </w:numPr>
      <w:spacing w:after="200" w:line="276" w:lineRule="auto"/>
      <w:contextualSpacing/>
    </w:pPr>
    <w:rPr>
      <w:rFonts w:eastAsiaTheme="minorEastAsia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81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1775</Words>
  <Characters>10124</Characters>
  <Application>Microsoft Office Word</Application>
  <DocSecurity>0</DocSecurity>
  <Lines>84</Lines>
  <Paragraphs>23</Paragraphs>
  <ScaleCrop>false</ScaleCrop>
  <Company>Ministry of Education</Company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Metcalfe</dc:creator>
  <cp:keywords/>
  <dc:description/>
  <cp:lastModifiedBy>Leo Spanns</cp:lastModifiedBy>
  <cp:revision>2</cp:revision>
  <dcterms:created xsi:type="dcterms:W3CDTF">2025-08-11T19:17:00Z</dcterms:created>
  <dcterms:modified xsi:type="dcterms:W3CDTF">2025-08-11T19:17:00Z</dcterms:modified>
</cp:coreProperties>
</file>